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4838" w14:textId="7A3BC67F" w:rsidR="004C6175" w:rsidRDefault="00D35CB3" w:rsidP="0033734B">
      <w:pPr>
        <w:jc w:val="center"/>
        <w:rPr>
          <w:b/>
          <w:bCs/>
          <w:u w:val="single"/>
        </w:rPr>
      </w:pPr>
      <w:r w:rsidRPr="0033734B">
        <w:rPr>
          <w:b/>
          <w:bCs/>
          <w:u w:val="single"/>
        </w:rPr>
        <w:t>Synthetic Brine Questions Phase II</w:t>
      </w:r>
    </w:p>
    <w:p w14:paraId="1ABE27E4" w14:textId="7E49ED17" w:rsidR="007E1BAC" w:rsidRPr="00C54036" w:rsidRDefault="00C54036" w:rsidP="00C54036">
      <w:pPr>
        <w:spacing w:after="120" w:line="240" w:lineRule="auto"/>
        <w:textAlignment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Table 1. </w:t>
      </w:r>
      <w:r w:rsidRPr="00C54036">
        <w:rPr>
          <w:rFonts w:eastAsia="Times New Roman"/>
          <w:b/>
          <w:bCs/>
        </w:rPr>
        <w:t>Salton Sea B</w:t>
      </w:r>
      <w:r w:rsidR="00434655" w:rsidRPr="00C54036">
        <w:rPr>
          <w:rFonts w:eastAsia="Times New Roman"/>
          <w:b/>
          <w:bCs/>
        </w:rPr>
        <w:t xml:space="preserve">rine </w:t>
      </w:r>
      <w:r w:rsidRPr="00C54036">
        <w:rPr>
          <w:rFonts w:eastAsia="Times New Roman"/>
          <w:b/>
          <w:bCs/>
        </w:rPr>
        <w:t>C</w:t>
      </w:r>
      <w:r w:rsidR="009B64AD" w:rsidRPr="00C54036">
        <w:rPr>
          <w:rFonts w:eastAsia="Times New Roman"/>
          <w:b/>
          <w:bCs/>
        </w:rPr>
        <w:t>omposition</w:t>
      </w:r>
      <w:r w:rsidR="00434655" w:rsidRPr="00C54036">
        <w:rPr>
          <w:rFonts w:eastAsia="Times New Roman"/>
          <w:b/>
          <w:bCs/>
        </w:rPr>
        <w:t xml:space="preserve"> </w:t>
      </w:r>
    </w:p>
    <w:p w14:paraId="38ABF791" w14:textId="77777777" w:rsidR="007E1BAC" w:rsidRDefault="007E1BAC" w:rsidP="007E1BAC">
      <w:pPr>
        <w:numPr>
          <w:ilvl w:val="1"/>
          <w:numId w:val="1"/>
        </w:numPr>
        <w:spacing w:after="0" w:line="240" w:lineRule="auto"/>
        <w:textAlignment w:val="center"/>
        <w:rPr>
          <w:rFonts w:eastAsia="Times New Roman"/>
        </w:rPr>
        <w:sectPr w:rsidR="007E1BAC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2335"/>
        <w:gridCol w:w="2790"/>
        <w:gridCol w:w="2250"/>
        <w:gridCol w:w="2088"/>
      </w:tblGrid>
      <w:tr w:rsidR="00C54036" w:rsidRPr="00C54036" w14:paraId="01B3EFCF" w14:textId="77777777" w:rsidTr="00C54036">
        <w:tc>
          <w:tcPr>
            <w:tcW w:w="2335" w:type="dxa"/>
            <w:vAlign w:val="center"/>
          </w:tcPr>
          <w:p w14:paraId="125EA418" w14:textId="759D438E" w:rsidR="00904C02" w:rsidRPr="00C54036" w:rsidRDefault="00C54036" w:rsidP="00C54036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  <w:u w:val="single"/>
              </w:rPr>
            </w:pPr>
            <w:r w:rsidRPr="00C54036">
              <w:rPr>
                <w:rFonts w:eastAsia="Times New Roman"/>
                <w:b/>
                <w:bCs/>
                <w:u w:val="single"/>
              </w:rPr>
              <w:t>Composition</w:t>
            </w:r>
          </w:p>
        </w:tc>
        <w:tc>
          <w:tcPr>
            <w:tcW w:w="2790" w:type="dxa"/>
            <w:vAlign w:val="center"/>
          </w:tcPr>
          <w:p w14:paraId="53C9DB79" w14:textId="6FD3D99F" w:rsidR="00904C02" w:rsidRPr="00C54036" w:rsidRDefault="00C54036" w:rsidP="00C54036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  <w:u w:val="single"/>
              </w:rPr>
            </w:pPr>
            <w:r w:rsidRPr="00C54036">
              <w:rPr>
                <w:rFonts w:eastAsia="Times New Roman"/>
                <w:b/>
                <w:bCs/>
                <w:u w:val="single"/>
              </w:rPr>
              <w:t>Response</w:t>
            </w:r>
          </w:p>
        </w:tc>
        <w:tc>
          <w:tcPr>
            <w:tcW w:w="2250" w:type="dxa"/>
            <w:vAlign w:val="center"/>
          </w:tcPr>
          <w:p w14:paraId="01F597FD" w14:textId="55D3C2F4" w:rsidR="00904C02" w:rsidRPr="00C54036" w:rsidRDefault="00C54036" w:rsidP="00C54036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  <w:u w:val="single"/>
              </w:rPr>
            </w:pPr>
            <w:r w:rsidRPr="00C54036">
              <w:rPr>
                <w:rFonts w:eastAsia="Times New Roman"/>
                <w:b/>
                <w:bCs/>
                <w:u w:val="single"/>
              </w:rPr>
              <w:t xml:space="preserve">Composition </w:t>
            </w:r>
          </w:p>
        </w:tc>
        <w:tc>
          <w:tcPr>
            <w:tcW w:w="2088" w:type="dxa"/>
            <w:vAlign w:val="center"/>
          </w:tcPr>
          <w:p w14:paraId="45D46F05" w14:textId="01889C03" w:rsidR="00904C02" w:rsidRPr="00C54036" w:rsidRDefault="00C54036" w:rsidP="00C54036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  <w:u w:val="single"/>
              </w:rPr>
            </w:pPr>
            <w:r w:rsidRPr="00C54036">
              <w:rPr>
                <w:rFonts w:eastAsia="Times New Roman"/>
                <w:b/>
                <w:bCs/>
                <w:u w:val="single"/>
              </w:rPr>
              <w:t xml:space="preserve">Response </w:t>
            </w:r>
          </w:p>
        </w:tc>
      </w:tr>
      <w:tr w:rsidR="00C54036" w:rsidRPr="00C54036" w14:paraId="154CF316" w14:textId="77777777" w:rsidTr="00C54036">
        <w:tc>
          <w:tcPr>
            <w:tcW w:w="2335" w:type="dxa"/>
            <w:vAlign w:val="center"/>
          </w:tcPr>
          <w:p w14:paraId="6F038C46" w14:textId="54412A44" w:rsidR="00904C02" w:rsidRPr="00C54036" w:rsidRDefault="00904C02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proofErr w:type="spellStart"/>
            <w:r w:rsidRPr="00C54036">
              <w:rPr>
                <w:rFonts w:eastAsia="Times New Roman"/>
                <w:b/>
                <w:bCs/>
              </w:rPr>
              <w:t>Wt</w:t>
            </w:r>
            <w:proofErr w:type="spellEnd"/>
            <w:r w:rsidRPr="00C54036">
              <w:rPr>
                <w:rFonts w:eastAsia="Times New Roman"/>
                <w:b/>
                <w:bCs/>
              </w:rPr>
              <w:t xml:space="preserve">% of </w:t>
            </w:r>
            <w:proofErr w:type="spellStart"/>
            <w:r w:rsidR="00C54036">
              <w:rPr>
                <w:rFonts w:eastAsia="Times New Roman"/>
                <w:b/>
                <w:bCs/>
              </w:rPr>
              <w:t>S</w:t>
            </w:r>
            <w:r w:rsidRPr="00C54036">
              <w:rPr>
                <w:rFonts w:eastAsia="Times New Roman"/>
                <w:b/>
                <w:bCs/>
              </w:rPr>
              <w:t>olubles</w:t>
            </w:r>
            <w:proofErr w:type="spellEnd"/>
          </w:p>
        </w:tc>
        <w:tc>
          <w:tcPr>
            <w:tcW w:w="2790" w:type="dxa"/>
            <w:vAlign w:val="center"/>
          </w:tcPr>
          <w:p w14:paraId="76293C7C" w14:textId="0B8861A4" w:rsidR="00904C02" w:rsidRPr="009F5026" w:rsidRDefault="00697F41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</w:rPr>
            </w:pPr>
            <w:r w:rsidRPr="00E36FD0">
              <w:rPr>
                <w:rFonts w:eastAsia="Times New Roman"/>
                <w:i/>
                <w:iCs/>
              </w:rPr>
              <w:t>29.</w:t>
            </w:r>
            <w:r w:rsidR="0097032B" w:rsidRPr="00E36FD0">
              <w:rPr>
                <w:rFonts w:eastAsia="Times New Roman"/>
                <w:i/>
                <w:iCs/>
              </w:rPr>
              <w:t>6</w:t>
            </w:r>
            <w:r w:rsidRPr="00E36FD0">
              <w:rPr>
                <w:rFonts w:eastAsia="Times New Roman"/>
                <w:i/>
                <w:iCs/>
              </w:rPr>
              <w:t>%</w:t>
            </w:r>
          </w:p>
        </w:tc>
        <w:tc>
          <w:tcPr>
            <w:tcW w:w="2250" w:type="dxa"/>
            <w:vAlign w:val="center"/>
          </w:tcPr>
          <w:p w14:paraId="270256E9" w14:textId="49D98852" w:rsidR="00904C02" w:rsidRPr="00C54036" w:rsidRDefault="00D37D5A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 xml:space="preserve">Redox Potential </w:t>
            </w:r>
          </w:p>
        </w:tc>
        <w:tc>
          <w:tcPr>
            <w:tcW w:w="2088" w:type="dxa"/>
            <w:vAlign w:val="center"/>
          </w:tcPr>
          <w:p w14:paraId="1FCCF7D9" w14:textId="7BB65C5F" w:rsidR="00904C02" w:rsidRPr="007D13B9" w:rsidRDefault="00E632C9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  <w:highlight w:val="yellow"/>
              </w:rPr>
            </w:pPr>
            <w:r w:rsidRPr="00E632C9">
              <w:rPr>
                <w:rFonts w:eastAsia="Times New Roman"/>
                <w:i/>
                <w:iCs/>
              </w:rPr>
              <w:t>See question 5 below</w:t>
            </w:r>
          </w:p>
        </w:tc>
      </w:tr>
      <w:tr w:rsidR="00C54036" w:rsidRPr="00C54036" w14:paraId="2DC6706C" w14:textId="77777777" w:rsidTr="00C54036">
        <w:tc>
          <w:tcPr>
            <w:tcW w:w="2335" w:type="dxa"/>
            <w:vAlign w:val="center"/>
          </w:tcPr>
          <w:p w14:paraId="44164FC2" w14:textId="106F154F" w:rsidR="00904C02" w:rsidRPr="00C54036" w:rsidRDefault="00904C02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>Particle Size</w:t>
            </w:r>
          </w:p>
        </w:tc>
        <w:tc>
          <w:tcPr>
            <w:tcW w:w="2790" w:type="dxa"/>
            <w:vAlign w:val="center"/>
          </w:tcPr>
          <w:p w14:paraId="26FEAB3B" w14:textId="3B764D91" w:rsidR="00904C02" w:rsidRPr="009F5026" w:rsidRDefault="00904C02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</w:rPr>
            </w:pPr>
            <w:r w:rsidRPr="009F5026">
              <w:rPr>
                <w:rFonts w:eastAsia="Times New Roman"/>
                <w:i/>
                <w:iCs/>
              </w:rPr>
              <w:t>Synthetic brines will be particulate free</w:t>
            </w:r>
          </w:p>
        </w:tc>
        <w:tc>
          <w:tcPr>
            <w:tcW w:w="2250" w:type="dxa"/>
            <w:vAlign w:val="center"/>
          </w:tcPr>
          <w:p w14:paraId="12FBC38A" w14:textId="13B7CF63" w:rsidR="00904C02" w:rsidRPr="00C54036" w:rsidRDefault="00D37D5A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 xml:space="preserve">Viscosity </w:t>
            </w:r>
          </w:p>
        </w:tc>
        <w:tc>
          <w:tcPr>
            <w:tcW w:w="2088" w:type="dxa"/>
            <w:vAlign w:val="center"/>
          </w:tcPr>
          <w:p w14:paraId="5F893516" w14:textId="6B646310" w:rsidR="00904C02" w:rsidRPr="007D13B9" w:rsidRDefault="00A14352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  <w:highlight w:val="yellow"/>
              </w:rPr>
            </w:pPr>
            <w:r w:rsidRPr="00E36FD0">
              <w:rPr>
                <w:rFonts w:eastAsia="Times New Roman"/>
                <w:i/>
                <w:iCs/>
              </w:rPr>
              <w:t>0.0</w:t>
            </w:r>
            <w:r w:rsidR="0097032B" w:rsidRPr="00E36FD0">
              <w:rPr>
                <w:rFonts w:eastAsia="Times New Roman"/>
                <w:i/>
                <w:iCs/>
              </w:rPr>
              <w:t>19</w:t>
            </w:r>
            <w:r w:rsidRPr="00E36FD0">
              <w:rPr>
                <w:rFonts w:eastAsia="Times New Roman"/>
                <w:i/>
                <w:iCs/>
              </w:rPr>
              <w:t xml:space="preserve"> poise</w:t>
            </w:r>
            <w:r w:rsidRPr="00E36FD0">
              <w:rPr>
                <w:rFonts w:eastAsia="Times New Roman"/>
                <w:i/>
                <w:iCs/>
              </w:rPr>
              <w:br/>
              <w:t>(estimate)</w:t>
            </w:r>
            <w:r w:rsidR="00D37D5A" w:rsidRPr="00E36FD0">
              <w:rPr>
                <w:rFonts w:eastAsia="Times New Roman"/>
                <w:i/>
                <w:iCs/>
              </w:rPr>
              <w:t xml:space="preserve"> </w:t>
            </w:r>
          </w:p>
        </w:tc>
      </w:tr>
      <w:tr w:rsidR="00C54036" w:rsidRPr="00C54036" w14:paraId="1E750839" w14:textId="77777777" w:rsidTr="00C54036">
        <w:tc>
          <w:tcPr>
            <w:tcW w:w="2335" w:type="dxa"/>
            <w:vAlign w:val="center"/>
          </w:tcPr>
          <w:p w14:paraId="30D3BA80" w14:textId="06B7451A" w:rsidR="00904C02" w:rsidRPr="00C54036" w:rsidRDefault="001D0913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proofErr w:type="spellStart"/>
            <w:r w:rsidRPr="00C54036">
              <w:rPr>
                <w:rFonts w:eastAsia="Times New Roman"/>
                <w:b/>
                <w:bCs/>
              </w:rPr>
              <w:t>Wt</w:t>
            </w:r>
            <w:proofErr w:type="spellEnd"/>
            <w:r w:rsidRPr="00C54036">
              <w:rPr>
                <w:rFonts w:eastAsia="Times New Roman"/>
                <w:b/>
                <w:bCs/>
              </w:rPr>
              <w:t>% of insoluble</w:t>
            </w:r>
          </w:p>
        </w:tc>
        <w:tc>
          <w:tcPr>
            <w:tcW w:w="2790" w:type="dxa"/>
            <w:vAlign w:val="center"/>
          </w:tcPr>
          <w:p w14:paraId="45A67D1E" w14:textId="3B22ABCB" w:rsidR="00904C02" w:rsidRPr="009F5026" w:rsidRDefault="001D0913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</w:rPr>
            </w:pPr>
            <w:r w:rsidRPr="009F5026">
              <w:rPr>
                <w:rFonts w:eastAsia="Times New Roman"/>
                <w:i/>
                <w:iCs/>
              </w:rPr>
              <w:t>Synthetic brines will be particulate free</w:t>
            </w:r>
          </w:p>
        </w:tc>
        <w:tc>
          <w:tcPr>
            <w:tcW w:w="2250" w:type="dxa"/>
            <w:vAlign w:val="center"/>
          </w:tcPr>
          <w:p w14:paraId="1F1ABFB7" w14:textId="2013CE49" w:rsidR="00904C02" w:rsidRPr="00C54036" w:rsidRDefault="00D37D5A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>TDS</w:t>
            </w:r>
          </w:p>
        </w:tc>
        <w:tc>
          <w:tcPr>
            <w:tcW w:w="2088" w:type="dxa"/>
            <w:vAlign w:val="center"/>
          </w:tcPr>
          <w:p w14:paraId="6039A4D2" w14:textId="1B1472EF" w:rsidR="00904C02" w:rsidRPr="009F5026" w:rsidRDefault="00E76BEE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</w:rPr>
            </w:pPr>
            <w:r>
              <w:rPr>
                <w:rFonts w:eastAsia="Times New Roman"/>
                <w:i/>
                <w:iCs/>
              </w:rPr>
              <w:t>29</w:t>
            </w:r>
            <w:r w:rsidR="0097032B">
              <w:rPr>
                <w:rFonts w:eastAsia="Times New Roman"/>
                <w:i/>
                <w:iCs/>
              </w:rPr>
              <w:t>6</w:t>
            </w:r>
            <w:r w:rsidR="00292353">
              <w:rPr>
                <w:rFonts w:eastAsia="Times New Roman"/>
                <w:i/>
                <w:iCs/>
              </w:rPr>
              <w:t>,000</w:t>
            </w:r>
            <w:r>
              <w:rPr>
                <w:rFonts w:eastAsia="Times New Roman"/>
                <w:i/>
                <w:iCs/>
              </w:rPr>
              <w:t xml:space="preserve"> </w:t>
            </w:r>
            <w:r w:rsidR="00292353">
              <w:rPr>
                <w:rFonts w:eastAsia="Times New Roman"/>
                <w:i/>
                <w:iCs/>
              </w:rPr>
              <w:t>ppm</w:t>
            </w:r>
            <w:r w:rsidR="00D37D5A" w:rsidRPr="009F5026">
              <w:rPr>
                <w:rFonts w:eastAsia="Times New Roman"/>
                <w:i/>
                <w:iCs/>
              </w:rPr>
              <w:t xml:space="preserve"> </w:t>
            </w:r>
          </w:p>
        </w:tc>
      </w:tr>
      <w:tr w:rsidR="00C54036" w:rsidRPr="00C54036" w14:paraId="61C427FC" w14:textId="77777777" w:rsidTr="00C54036">
        <w:tc>
          <w:tcPr>
            <w:tcW w:w="2335" w:type="dxa"/>
            <w:vAlign w:val="center"/>
          </w:tcPr>
          <w:p w14:paraId="5DE8E2DD" w14:textId="77777777" w:rsidR="001D0913" w:rsidRPr="00C54036" w:rsidRDefault="001D0913" w:rsidP="00D37D5A">
            <w:pPr>
              <w:ind w:left="1080"/>
              <w:jc w:val="center"/>
              <w:textAlignment w:val="center"/>
              <w:rPr>
                <w:rFonts w:eastAsia="Times New Roman"/>
                <w:b/>
                <w:bCs/>
              </w:rPr>
            </w:pPr>
          </w:p>
          <w:p w14:paraId="4A541246" w14:textId="76310D49" w:rsidR="001D0913" w:rsidRPr="00C54036" w:rsidRDefault="001D0913" w:rsidP="00D37D5A">
            <w:pPr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 xml:space="preserve">Brine </w:t>
            </w:r>
            <w:r w:rsidR="00C54036">
              <w:rPr>
                <w:rFonts w:eastAsia="Times New Roman"/>
                <w:b/>
                <w:bCs/>
              </w:rPr>
              <w:t>P</w:t>
            </w:r>
            <w:r w:rsidRPr="00C54036">
              <w:rPr>
                <w:rFonts w:eastAsia="Times New Roman"/>
                <w:b/>
                <w:bCs/>
              </w:rPr>
              <w:t>article (suspensions) concentration</w:t>
            </w:r>
          </w:p>
          <w:p w14:paraId="0AC936D2" w14:textId="77777777" w:rsidR="00904C02" w:rsidRPr="00C54036" w:rsidRDefault="00904C02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790" w:type="dxa"/>
            <w:vAlign w:val="center"/>
          </w:tcPr>
          <w:p w14:paraId="6448CE09" w14:textId="6EF336A1" w:rsidR="00904C02" w:rsidRPr="009F5026" w:rsidRDefault="001D0913" w:rsidP="00D37D5A">
            <w:pPr>
              <w:jc w:val="center"/>
              <w:textAlignment w:val="center"/>
              <w:rPr>
                <w:rFonts w:eastAsia="Times New Roman"/>
                <w:i/>
                <w:iCs/>
              </w:rPr>
            </w:pPr>
            <w:r w:rsidRPr="009F5026">
              <w:rPr>
                <w:rFonts w:eastAsia="Times New Roman"/>
                <w:i/>
                <w:iCs/>
              </w:rPr>
              <w:t>Synthetic brines will be particulate free</w:t>
            </w:r>
          </w:p>
        </w:tc>
        <w:tc>
          <w:tcPr>
            <w:tcW w:w="2250" w:type="dxa"/>
            <w:vAlign w:val="center"/>
          </w:tcPr>
          <w:p w14:paraId="58150E81" w14:textId="55E68ACE" w:rsidR="00904C02" w:rsidRPr="00C54036" w:rsidRDefault="00D37D5A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 xml:space="preserve">Salinity </w:t>
            </w:r>
          </w:p>
        </w:tc>
        <w:tc>
          <w:tcPr>
            <w:tcW w:w="2088" w:type="dxa"/>
            <w:vAlign w:val="center"/>
          </w:tcPr>
          <w:p w14:paraId="3ADA3F88" w14:textId="4C51E36C" w:rsidR="00904C02" w:rsidRPr="001C0AC2" w:rsidRDefault="001C0AC2" w:rsidP="00D37D5A">
            <w:pPr>
              <w:spacing w:after="240"/>
              <w:jc w:val="center"/>
              <w:textAlignment w:val="center"/>
              <w:rPr>
                <w:rFonts w:eastAsia="Times New Roman" w:cstheme="minorHAnsi"/>
                <w:i/>
                <w:iCs/>
                <w:highlight w:val="yellow"/>
              </w:rPr>
            </w:pPr>
            <w:r w:rsidRPr="001C0AC2">
              <w:rPr>
                <w:rFonts w:cstheme="minorHAnsi"/>
              </w:rPr>
              <w:t>Chlorinity</w:t>
            </w:r>
            <w:r w:rsidR="00E36FD0">
              <w:rPr>
                <w:rFonts w:cstheme="minorHAnsi"/>
              </w:rPr>
              <w:br/>
            </w:r>
            <w:r w:rsidRPr="001C0AC2">
              <w:rPr>
                <w:rFonts w:cstheme="minorHAnsi"/>
              </w:rPr>
              <w:t>7.1 molal</w:t>
            </w:r>
            <w:r w:rsidR="00D37D5A" w:rsidRPr="001C0AC2">
              <w:rPr>
                <w:rFonts w:eastAsia="Times New Roman" w:cstheme="minorHAnsi"/>
                <w:i/>
                <w:iCs/>
                <w:highlight w:val="yellow"/>
              </w:rPr>
              <w:t xml:space="preserve"> </w:t>
            </w:r>
          </w:p>
        </w:tc>
      </w:tr>
      <w:tr w:rsidR="00C54036" w:rsidRPr="00C54036" w14:paraId="37E2332B" w14:textId="77777777" w:rsidTr="00C54036">
        <w:tc>
          <w:tcPr>
            <w:tcW w:w="2335" w:type="dxa"/>
            <w:vAlign w:val="center"/>
          </w:tcPr>
          <w:p w14:paraId="3D3ED7BF" w14:textId="37E460F4" w:rsidR="00904C02" w:rsidRPr="00C54036" w:rsidRDefault="00D37D5A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 xml:space="preserve">Water </w:t>
            </w:r>
            <w:r w:rsidR="00C54036">
              <w:rPr>
                <w:rFonts w:eastAsia="Times New Roman"/>
                <w:b/>
                <w:bCs/>
              </w:rPr>
              <w:t>C</w:t>
            </w:r>
            <w:r w:rsidRPr="00C54036">
              <w:rPr>
                <w:rFonts w:eastAsia="Times New Roman"/>
                <w:b/>
                <w:bCs/>
              </w:rPr>
              <w:t>ontent</w:t>
            </w:r>
            <w:r w:rsidRPr="00C54036">
              <w:rPr>
                <w:rFonts w:eastAsia="Times New Roman"/>
                <w:b/>
                <w:bCs/>
              </w:rPr>
              <w:br/>
            </w:r>
          </w:p>
        </w:tc>
        <w:tc>
          <w:tcPr>
            <w:tcW w:w="2790" w:type="dxa"/>
            <w:vAlign w:val="center"/>
          </w:tcPr>
          <w:p w14:paraId="4C37C137" w14:textId="77777777" w:rsidR="00D37D5A" w:rsidRPr="009F5026" w:rsidRDefault="00D37D5A" w:rsidP="00601DB2">
            <w:pPr>
              <w:jc w:val="center"/>
              <w:textAlignment w:val="center"/>
              <w:rPr>
                <w:rFonts w:eastAsia="Times New Roman"/>
                <w:i/>
                <w:iCs/>
              </w:rPr>
            </w:pPr>
            <w:r w:rsidRPr="009F5026">
              <w:rPr>
                <w:rFonts w:eastAsia="Times New Roman"/>
                <w:i/>
                <w:iCs/>
              </w:rPr>
              <w:t xml:space="preserve">100 – </w:t>
            </w:r>
            <w:proofErr w:type="spellStart"/>
            <w:r w:rsidRPr="009F5026">
              <w:rPr>
                <w:rFonts w:eastAsia="Times New Roman"/>
                <w:i/>
                <w:iCs/>
              </w:rPr>
              <w:t>Wt</w:t>
            </w:r>
            <w:proofErr w:type="spellEnd"/>
            <w:r w:rsidRPr="009F5026">
              <w:rPr>
                <w:rFonts w:eastAsia="Times New Roman"/>
                <w:i/>
                <w:iCs/>
              </w:rPr>
              <w:t xml:space="preserve">% </w:t>
            </w:r>
            <w:proofErr w:type="spellStart"/>
            <w:r w:rsidRPr="009F5026">
              <w:rPr>
                <w:rFonts w:eastAsia="Times New Roman"/>
                <w:i/>
                <w:iCs/>
              </w:rPr>
              <w:t>solubles</w:t>
            </w:r>
            <w:proofErr w:type="spellEnd"/>
          </w:p>
          <w:p w14:paraId="2EE79520" w14:textId="77777777" w:rsidR="00904C02" w:rsidRPr="009F5026" w:rsidRDefault="00904C02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2250" w:type="dxa"/>
            <w:vAlign w:val="center"/>
          </w:tcPr>
          <w:p w14:paraId="0550C532" w14:textId="1BA28267" w:rsidR="00904C02" w:rsidRPr="00C54036" w:rsidRDefault="00D37D5A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 xml:space="preserve">Silica, Iron, and Calcium Concentrations </w:t>
            </w:r>
          </w:p>
        </w:tc>
        <w:tc>
          <w:tcPr>
            <w:tcW w:w="2088" w:type="dxa"/>
            <w:vAlign w:val="center"/>
          </w:tcPr>
          <w:p w14:paraId="06A9B71B" w14:textId="6822C2A9" w:rsidR="00904C02" w:rsidRPr="007D13B9" w:rsidRDefault="00697F41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  <w:highlight w:val="yellow"/>
              </w:rPr>
            </w:pPr>
            <w:r w:rsidRPr="00E36FD0">
              <w:rPr>
                <w:rFonts w:eastAsia="Times New Roman"/>
                <w:i/>
                <w:iCs/>
              </w:rPr>
              <w:t>Target (ppm)</w:t>
            </w:r>
            <w:r w:rsidRPr="00E36FD0">
              <w:rPr>
                <w:rFonts w:eastAsia="Times New Roman"/>
                <w:i/>
                <w:iCs/>
              </w:rPr>
              <w:br/>
              <w:t>Silica – 0</w:t>
            </w:r>
            <w:r w:rsidRPr="00E36FD0">
              <w:rPr>
                <w:rFonts w:eastAsia="Times New Roman"/>
                <w:i/>
                <w:iCs/>
              </w:rPr>
              <w:br/>
              <w:t>Iron – 1,670</w:t>
            </w:r>
            <w:r w:rsidRPr="00E36FD0">
              <w:rPr>
                <w:rFonts w:eastAsia="Times New Roman"/>
                <w:i/>
                <w:iCs/>
              </w:rPr>
              <w:br/>
              <w:t>Calcium – 35,600</w:t>
            </w:r>
          </w:p>
        </w:tc>
      </w:tr>
      <w:tr w:rsidR="00C54036" w:rsidRPr="00C54036" w14:paraId="61D18641" w14:textId="77777777" w:rsidTr="00C54036">
        <w:tc>
          <w:tcPr>
            <w:tcW w:w="2335" w:type="dxa"/>
            <w:vAlign w:val="center"/>
          </w:tcPr>
          <w:p w14:paraId="7BD1C079" w14:textId="15187BBB" w:rsidR="00904C02" w:rsidRPr="00C54036" w:rsidRDefault="00D37D5A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>pH</w:t>
            </w:r>
          </w:p>
        </w:tc>
        <w:tc>
          <w:tcPr>
            <w:tcW w:w="2790" w:type="dxa"/>
            <w:vAlign w:val="center"/>
          </w:tcPr>
          <w:p w14:paraId="38D1E994" w14:textId="4F65609A" w:rsidR="00904C02" w:rsidRPr="007D13B9" w:rsidRDefault="00C6459E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  <w:highlight w:val="yellow"/>
              </w:rPr>
            </w:pPr>
            <w:r w:rsidRPr="00C6459E">
              <w:rPr>
                <w:rFonts w:eastAsia="Times New Roman"/>
                <w:i/>
                <w:iCs/>
              </w:rPr>
              <w:t>~ 2</w:t>
            </w:r>
            <w:r w:rsidR="00697F41">
              <w:rPr>
                <w:rFonts w:eastAsia="Times New Roman"/>
                <w:i/>
                <w:iCs/>
              </w:rPr>
              <w:t>.3</w:t>
            </w:r>
          </w:p>
        </w:tc>
        <w:tc>
          <w:tcPr>
            <w:tcW w:w="2250" w:type="dxa"/>
            <w:vAlign w:val="center"/>
          </w:tcPr>
          <w:p w14:paraId="67FAA3E9" w14:textId="12A26FAF" w:rsidR="00904C02" w:rsidRPr="00C54036" w:rsidRDefault="00C54036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>What are the concentrations of all dissolved species (ions and organic matter)</w:t>
            </w:r>
          </w:p>
        </w:tc>
        <w:tc>
          <w:tcPr>
            <w:tcW w:w="2088" w:type="dxa"/>
            <w:vAlign w:val="center"/>
          </w:tcPr>
          <w:p w14:paraId="156F16FC" w14:textId="3624A5E1" w:rsidR="00904C02" w:rsidRPr="007D13B9" w:rsidRDefault="00544356" w:rsidP="00544356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  <w:highlight w:val="yellow"/>
              </w:rPr>
            </w:pPr>
            <w:r>
              <w:rPr>
                <w:rFonts w:eastAsia="Times New Roman"/>
                <w:i/>
                <w:iCs/>
              </w:rPr>
              <w:t>Target (ppm)</w:t>
            </w:r>
            <w:r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Boron</w:t>
            </w:r>
            <w:r w:rsidR="00697F41">
              <w:rPr>
                <w:rFonts w:eastAsia="Times New Roman"/>
                <w:i/>
                <w:iCs/>
              </w:rPr>
              <w:t xml:space="preserve"> – </w:t>
            </w:r>
            <w:r w:rsidR="00697F41" w:rsidRPr="00697F41">
              <w:rPr>
                <w:rFonts w:eastAsia="Times New Roman"/>
                <w:i/>
                <w:iCs/>
              </w:rPr>
              <w:t>4</w:t>
            </w:r>
            <w:r w:rsidR="0097032B">
              <w:rPr>
                <w:rFonts w:eastAsia="Times New Roman"/>
                <w:i/>
                <w:iCs/>
              </w:rPr>
              <w:t>30</w:t>
            </w:r>
            <w:r w:rsidR="00697F41"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Calcium</w:t>
            </w:r>
            <w:r w:rsidR="00697F41" w:rsidRPr="00697F41">
              <w:rPr>
                <w:rFonts w:eastAsia="Times New Roman"/>
                <w:i/>
                <w:iCs/>
              </w:rPr>
              <w:tab/>
            </w:r>
            <w:r>
              <w:rPr>
                <w:rFonts w:eastAsia="Times New Roman"/>
                <w:i/>
                <w:iCs/>
              </w:rPr>
              <w:t xml:space="preserve">– </w:t>
            </w:r>
            <w:r w:rsidR="00697F41" w:rsidRPr="00697F41">
              <w:rPr>
                <w:rFonts w:eastAsia="Times New Roman"/>
                <w:i/>
                <w:iCs/>
              </w:rPr>
              <w:t>3</w:t>
            </w:r>
            <w:r w:rsidR="0097032B">
              <w:rPr>
                <w:rFonts w:eastAsia="Times New Roman"/>
                <w:i/>
                <w:iCs/>
              </w:rPr>
              <w:t>5</w:t>
            </w:r>
            <w:r w:rsidR="00697F41" w:rsidRPr="00697F41">
              <w:rPr>
                <w:rFonts w:eastAsia="Times New Roman"/>
                <w:i/>
                <w:iCs/>
              </w:rPr>
              <w:t>,</w:t>
            </w:r>
            <w:r w:rsidR="0097032B">
              <w:rPr>
                <w:rFonts w:eastAsia="Times New Roman"/>
                <w:i/>
                <w:iCs/>
              </w:rPr>
              <w:t>600</w:t>
            </w:r>
            <w:r w:rsidR="00697F41"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Chloride</w:t>
            </w:r>
            <w:r>
              <w:rPr>
                <w:rFonts w:eastAsia="Times New Roman"/>
                <w:i/>
                <w:iCs/>
              </w:rPr>
              <w:t xml:space="preserve"> – </w:t>
            </w:r>
            <w:r w:rsidR="00697F41" w:rsidRPr="00697F41">
              <w:rPr>
                <w:rFonts w:eastAsia="Times New Roman"/>
                <w:i/>
                <w:iCs/>
              </w:rPr>
              <w:t>17</w:t>
            </w:r>
            <w:r w:rsidR="0097032B">
              <w:rPr>
                <w:rFonts w:eastAsia="Times New Roman"/>
                <w:i/>
                <w:iCs/>
              </w:rPr>
              <w:t>7</w:t>
            </w:r>
            <w:r w:rsidR="00697F41" w:rsidRPr="00697F41">
              <w:rPr>
                <w:rFonts w:eastAsia="Times New Roman"/>
                <w:i/>
                <w:iCs/>
              </w:rPr>
              <w:t>,000</w:t>
            </w:r>
            <w:r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Iron</w:t>
            </w:r>
            <w:r>
              <w:rPr>
                <w:rFonts w:eastAsia="Times New Roman"/>
                <w:i/>
                <w:iCs/>
              </w:rPr>
              <w:t xml:space="preserve"> – </w:t>
            </w:r>
            <w:r w:rsidR="00697F41" w:rsidRPr="00697F41">
              <w:rPr>
                <w:rFonts w:eastAsia="Times New Roman"/>
                <w:i/>
                <w:iCs/>
              </w:rPr>
              <w:t>1,670</w:t>
            </w:r>
            <w:r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Potassium</w:t>
            </w:r>
            <w:r>
              <w:rPr>
                <w:rFonts w:eastAsia="Times New Roman"/>
                <w:i/>
                <w:iCs/>
              </w:rPr>
              <w:t xml:space="preserve"> – </w:t>
            </w:r>
            <w:r w:rsidR="00697F41" w:rsidRPr="00697F41">
              <w:rPr>
                <w:rFonts w:eastAsia="Times New Roman"/>
                <w:i/>
                <w:iCs/>
              </w:rPr>
              <w:t>1</w:t>
            </w:r>
            <w:r w:rsidR="0097032B">
              <w:rPr>
                <w:rFonts w:eastAsia="Times New Roman"/>
                <w:i/>
                <w:iCs/>
              </w:rPr>
              <w:t>7</w:t>
            </w:r>
            <w:r w:rsidR="00697F41" w:rsidRPr="00697F41">
              <w:rPr>
                <w:rFonts w:eastAsia="Times New Roman"/>
                <w:i/>
                <w:iCs/>
              </w:rPr>
              <w:t>,</w:t>
            </w:r>
            <w:r w:rsidR="0097032B">
              <w:rPr>
                <w:rFonts w:eastAsia="Times New Roman"/>
                <w:i/>
                <w:iCs/>
              </w:rPr>
              <w:t>9</w:t>
            </w:r>
            <w:r w:rsidR="00697F41" w:rsidRPr="00697F41">
              <w:rPr>
                <w:rFonts w:eastAsia="Times New Roman"/>
                <w:i/>
                <w:iCs/>
              </w:rPr>
              <w:t>00</w:t>
            </w:r>
            <w:r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Lithium</w:t>
            </w:r>
            <w:r>
              <w:rPr>
                <w:rFonts w:eastAsia="Times New Roman"/>
                <w:i/>
                <w:iCs/>
              </w:rPr>
              <w:t xml:space="preserve"> – </w:t>
            </w:r>
            <w:r w:rsidR="00697F41" w:rsidRPr="00697F41">
              <w:rPr>
                <w:rFonts w:eastAsia="Times New Roman"/>
                <w:i/>
                <w:iCs/>
              </w:rPr>
              <w:t>23</w:t>
            </w:r>
            <w:r w:rsidR="0097032B">
              <w:rPr>
                <w:rFonts w:eastAsia="Times New Roman"/>
                <w:i/>
                <w:iCs/>
              </w:rPr>
              <w:t>1</w:t>
            </w:r>
            <w:r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Manganese</w:t>
            </w:r>
            <w:r>
              <w:rPr>
                <w:rFonts w:eastAsia="Times New Roman"/>
                <w:i/>
                <w:iCs/>
              </w:rPr>
              <w:t xml:space="preserve"> – </w:t>
            </w:r>
            <w:r w:rsidR="00697F41" w:rsidRPr="00697F41">
              <w:rPr>
                <w:rFonts w:eastAsia="Times New Roman"/>
                <w:i/>
                <w:iCs/>
              </w:rPr>
              <w:t>2,0</w:t>
            </w:r>
            <w:r w:rsidR="0097032B">
              <w:rPr>
                <w:rFonts w:eastAsia="Times New Roman"/>
                <w:i/>
                <w:iCs/>
              </w:rPr>
              <w:t>9</w:t>
            </w:r>
            <w:r w:rsidR="00697F41" w:rsidRPr="00697F41">
              <w:rPr>
                <w:rFonts w:eastAsia="Times New Roman"/>
                <w:i/>
                <w:iCs/>
              </w:rPr>
              <w:t>0</w:t>
            </w:r>
            <w:r>
              <w:rPr>
                <w:rFonts w:eastAsia="Times New Roman"/>
                <w:i/>
                <w:iCs/>
              </w:rPr>
              <w:br/>
            </w:r>
            <w:r w:rsidR="00697F41" w:rsidRPr="00697F41">
              <w:rPr>
                <w:rFonts w:eastAsia="Times New Roman"/>
                <w:i/>
                <w:iCs/>
              </w:rPr>
              <w:t>Sodium</w:t>
            </w:r>
            <w:r>
              <w:rPr>
                <w:rFonts w:eastAsia="Times New Roman"/>
                <w:i/>
                <w:iCs/>
              </w:rPr>
              <w:softHyphen/>
              <w:t xml:space="preserve"> – </w:t>
            </w:r>
            <w:r w:rsidR="00697F41" w:rsidRPr="00697F41">
              <w:rPr>
                <w:rFonts w:eastAsia="Times New Roman"/>
                <w:i/>
                <w:iCs/>
              </w:rPr>
              <w:t>5</w:t>
            </w:r>
            <w:r w:rsidR="0097032B">
              <w:rPr>
                <w:rFonts w:eastAsia="Times New Roman"/>
                <w:i/>
                <w:iCs/>
              </w:rPr>
              <w:t>9</w:t>
            </w:r>
            <w:r w:rsidR="00697F41" w:rsidRPr="00697F41">
              <w:rPr>
                <w:rFonts w:eastAsia="Times New Roman"/>
                <w:i/>
                <w:iCs/>
              </w:rPr>
              <w:t>,</w:t>
            </w:r>
            <w:r w:rsidR="0097032B">
              <w:rPr>
                <w:rFonts w:eastAsia="Times New Roman"/>
                <w:i/>
                <w:iCs/>
              </w:rPr>
              <w:t>4</w:t>
            </w:r>
            <w:r w:rsidR="00697F41" w:rsidRPr="00697F41">
              <w:rPr>
                <w:rFonts w:eastAsia="Times New Roman"/>
                <w:i/>
                <w:iCs/>
              </w:rPr>
              <w:t>00</w:t>
            </w:r>
            <w:r w:rsidR="00C54036" w:rsidRPr="007D13B9">
              <w:rPr>
                <w:rFonts w:eastAsia="Times New Roman"/>
                <w:i/>
                <w:iCs/>
                <w:highlight w:val="yellow"/>
              </w:rPr>
              <w:t xml:space="preserve"> </w:t>
            </w:r>
          </w:p>
        </w:tc>
      </w:tr>
      <w:tr w:rsidR="00C54036" w:rsidRPr="00C54036" w14:paraId="0E5E6C90" w14:textId="77777777" w:rsidTr="00E36FD0">
        <w:tc>
          <w:tcPr>
            <w:tcW w:w="2335" w:type="dxa"/>
            <w:vAlign w:val="center"/>
          </w:tcPr>
          <w:p w14:paraId="1DBC2416" w14:textId="6595D048" w:rsidR="00C54036" w:rsidRPr="00C54036" w:rsidRDefault="00C54036" w:rsidP="00D37D5A">
            <w:pPr>
              <w:spacing w:after="240"/>
              <w:jc w:val="center"/>
              <w:textAlignment w:val="center"/>
              <w:rPr>
                <w:rFonts w:eastAsia="Times New Roman"/>
                <w:b/>
                <w:bCs/>
              </w:rPr>
            </w:pPr>
            <w:r w:rsidRPr="00C54036">
              <w:rPr>
                <w:rFonts w:eastAsia="Times New Roman"/>
                <w:b/>
                <w:bCs/>
              </w:rPr>
              <w:t>What is the oxidation state of the components of the brine (</w:t>
            </w:r>
            <w:proofErr w:type="gramStart"/>
            <w:r w:rsidRPr="00C54036">
              <w:rPr>
                <w:rFonts w:eastAsia="Times New Roman"/>
                <w:b/>
                <w:bCs/>
              </w:rPr>
              <w:t>e.g.</w:t>
            </w:r>
            <w:proofErr w:type="gramEnd"/>
            <w:r w:rsidRPr="00C54036">
              <w:rPr>
                <w:rFonts w:eastAsia="Times New Roman"/>
                <w:b/>
                <w:bCs/>
              </w:rPr>
              <w:t xml:space="preserve"> Fe2+ or Fe3+ if present)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5C12AEB" w14:textId="22F2C39D" w:rsidR="00C54036" w:rsidRPr="007D13B9" w:rsidRDefault="00544356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  <w:highlight w:val="yellow"/>
              </w:rPr>
            </w:pPr>
            <w:r w:rsidRPr="00E36FD0">
              <w:rPr>
                <w:rFonts w:eastAsia="Times New Roman"/>
                <w:i/>
                <w:iCs/>
              </w:rPr>
              <w:t>Fe</w:t>
            </w:r>
            <w:r w:rsidR="00E36FD0" w:rsidRPr="00E36FD0">
              <w:rPr>
                <w:rFonts w:eastAsia="Times New Roman"/>
                <w:i/>
                <w:iCs/>
              </w:rPr>
              <w:t>C</w:t>
            </w:r>
            <w:r w:rsidRPr="00E36FD0">
              <w:rPr>
                <w:rFonts w:eastAsia="Times New Roman"/>
                <w:i/>
                <w:iCs/>
              </w:rPr>
              <w:t>l</w:t>
            </w:r>
            <w:r w:rsidRPr="00E36FD0">
              <w:rPr>
                <w:rFonts w:eastAsia="Times New Roman"/>
                <w:i/>
                <w:iCs/>
                <w:vertAlign w:val="subscript"/>
              </w:rPr>
              <w:t>2</w:t>
            </w:r>
            <w:r w:rsidRPr="00E36FD0">
              <w:rPr>
                <w:rFonts w:eastAsia="Times New Roman"/>
                <w:i/>
                <w:iCs/>
              </w:rPr>
              <w:br/>
              <w:t>MnCl</w:t>
            </w:r>
            <w:r w:rsidRPr="00E36FD0">
              <w:rPr>
                <w:rFonts w:eastAsia="Times New Roman"/>
                <w:i/>
                <w:iCs/>
                <w:vertAlign w:val="subscript"/>
              </w:rPr>
              <w:t>2</w:t>
            </w:r>
            <w:r w:rsidR="00C54036" w:rsidRPr="00E36FD0">
              <w:rPr>
                <w:rFonts w:eastAsia="Times New Roman"/>
                <w:i/>
                <w:iCs/>
              </w:rPr>
              <w:t xml:space="preserve"> </w:t>
            </w:r>
          </w:p>
        </w:tc>
        <w:tc>
          <w:tcPr>
            <w:tcW w:w="2250" w:type="dxa"/>
            <w:vAlign w:val="center"/>
          </w:tcPr>
          <w:p w14:paraId="6E986BC9" w14:textId="77777777" w:rsidR="00C54036" w:rsidRPr="00C54036" w:rsidRDefault="00C54036" w:rsidP="00D37D5A">
            <w:pPr>
              <w:spacing w:after="240"/>
              <w:jc w:val="center"/>
              <w:textAlignment w:val="center"/>
              <w:rPr>
                <w:rFonts w:eastAsia="Times New Roman"/>
              </w:rPr>
            </w:pPr>
          </w:p>
        </w:tc>
        <w:tc>
          <w:tcPr>
            <w:tcW w:w="2088" w:type="dxa"/>
            <w:vAlign w:val="center"/>
          </w:tcPr>
          <w:p w14:paraId="686BE5DE" w14:textId="77777777" w:rsidR="00C54036" w:rsidRPr="009F5026" w:rsidRDefault="00C54036" w:rsidP="00D37D5A">
            <w:pPr>
              <w:spacing w:after="240"/>
              <w:jc w:val="center"/>
              <w:textAlignment w:val="center"/>
              <w:rPr>
                <w:rFonts w:eastAsia="Times New Roman"/>
                <w:i/>
                <w:iCs/>
              </w:rPr>
            </w:pPr>
          </w:p>
        </w:tc>
      </w:tr>
    </w:tbl>
    <w:p w14:paraId="769ED782" w14:textId="77777777" w:rsidR="00904C02" w:rsidRDefault="00904C02" w:rsidP="00904C02">
      <w:pPr>
        <w:spacing w:after="240" w:line="240" w:lineRule="auto"/>
        <w:textAlignment w:val="center"/>
        <w:rPr>
          <w:rFonts w:eastAsia="Times New Roman"/>
        </w:rPr>
      </w:pPr>
    </w:p>
    <w:p w14:paraId="193904BA" w14:textId="77777777" w:rsidR="00CB1A99" w:rsidRDefault="00CB1A99" w:rsidP="00904C02">
      <w:pPr>
        <w:spacing w:after="240" w:line="240" w:lineRule="auto"/>
        <w:textAlignment w:val="center"/>
        <w:rPr>
          <w:rFonts w:eastAsia="Times New Roman"/>
        </w:rPr>
      </w:pPr>
    </w:p>
    <w:p w14:paraId="62757096" w14:textId="77777777" w:rsidR="00CB1A99" w:rsidRDefault="00CB1A99" w:rsidP="00904C02">
      <w:pPr>
        <w:spacing w:after="240" w:line="240" w:lineRule="auto"/>
        <w:textAlignment w:val="center"/>
        <w:rPr>
          <w:rFonts w:eastAsia="Times New Roman"/>
        </w:rPr>
      </w:pPr>
    </w:p>
    <w:p w14:paraId="4B3CF528" w14:textId="77777777" w:rsidR="00CB1A99" w:rsidRDefault="00CB1A99" w:rsidP="00904C02">
      <w:pPr>
        <w:spacing w:after="240" w:line="240" w:lineRule="auto"/>
        <w:textAlignment w:val="center"/>
        <w:rPr>
          <w:rFonts w:eastAsia="Times New Roman"/>
        </w:rPr>
      </w:pPr>
    </w:p>
    <w:p w14:paraId="384541F4" w14:textId="4E6D1EA1" w:rsidR="00CB1A99" w:rsidRDefault="00CB1A99" w:rsidP="00904C02">
      <w:pPr>
        <w:spacing w:after="240" w:line="240" w:lineRule="auto"/>
        <w:textAlignment w:val="center"/>
        <w:rPr>
          <w:rFonts w:eastAsia="Times New Roman"/>
        </w:rPr>
        <w:sectPr w:rsidR="00CB1A99" w:rsidSect="00904C0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C44FACE" w14:textId="77777777" w:rsidR="009F5026" w:rsidRPr="00932CFE" w:rsidRDefault="007E58DF" w:rsidP="005A2FA6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</w:rPr>
      </w:pPr>
      <w:r w:rsidRPr="00932CFE">
        <w:rPr>
          <w:rFonts w:eastAsia="Times New Roman"/>
          <w:b/>
          <w:bCs/>
        </w:rPr>
        <w:lastRenderedPageBreak/>
        <w:t>Does the brine contain organics or other volatiles</w:t>
      </w:r>
      <w:r w:rsidR="00D768BE" w:rsidRPr="00932CFE">
        <w:rPr>
          <w:rFonts w:eastAsia="Times New Roman"/>
          <w:b/>
          <w:bCs/>
        </w:rPr>
        <w:t>?</w:t>
      </w:r>
      <w:r w:rsidRPr="00932CFE">
        <w:rPr>
          <w:rFonts w:eastAsia="Times New Roman"/>
          <w:b/>
          <w:bCs/>
        </w:rPr>
        <w:t xml:space="preserve"> </w:t>
      </w:r>
    </w:p>
    <w:p w14:paraId="3C12E085" w14:textId="73F14C6F" w:rsidR="009F5026" w:rsidRDefault="009F5026" w:rsidP="009F5026">
      <w:pPr>
        <w:spacing w:after="240" w:line="240" w:lineRule="auto"/>
        <w:ind w:left="720"/>
        <w:textAlignment w:val="center"/>
        <w:rPr>
          <w:rFonts w:eastAsia="Times New Roman"/>
        </w:rPr>
      </w:pPr>
      <w:r>
        <w:rPr>
          <w:rFonts w:eastAsia="Times New Roman"/>
        </w:rPr>
        <w:t xml:space="preserve">Analysis on field samples </w:t>
      </w:r>
      <w:r w:rsidR="00E56624">
        <w:rPr>
          <w:rFonts w:eastAsia="Times New Roman"/>
        </w:rPr>
        <w:t xml:space="preserve">of Salton Sea geothermal brine </w:t>
      </w:r>
      <w:r>
        <w:rPr>
          <w:rFonts w:eastAsia="Times New Roman"/>
        </w:rPr>
        <w:t xml:space="preserve">will be done to </w:t>
      </w:r>
      <w:r w:rsidR="00E56624">
        <w:rPr>
          <w:rFonts w:eastAsia="Times New Roman"/>
        </w:rPr>
        <w:t>verify</w:t>
      </w:r>
      <w:r>
        <w:rPr>
          <w:rFonts w:eastAsia="Times New Roman"/>
        </w:rPr>
        <w:t xml:space="preserve"> the inorganic and organic </w:t>
      </w:r>
      <w:r w:rsidR="00E56624">
        <w:rPr>
          <w:rFonts w:eastAsia="Times New Roman"/>
        </w:rPr>
        <w:t>acid anion concentrations</w:t>
      </w:r>
      <w:r>
        <w:rPr>
          <w:rFonts w:eastAsia="Times New Roman"/>
        </w:rPr>
        <w:t xml:space="preserve">.  </w:t>
      </w:r>
      <w:r w:rsidR="003C7B53">
        <w:rPr>
          <w:rFonts w:eastAsia="Times New Roman"/>
        </w:rPr>
        <w:t xml:space="preserve">The proposed synthetic brine composition </w:t>
      </w:r>
      <w:r w:rsidR="00BC5099">
        <w:rPr>
          <w:rFonts w:eastAsia="Times New Roman"/>
        </w:rPr>
        <w:t xml:space="preserve">(Table 2) </w:t>
      </w:r>
      <w:r w:rsidR="003C7B53">
        <w:rPr>
          <w:rFonts w:eastAsia="Times New Roman"/>
        </w:rPr>
        <w:t xml:space="preserve">does not include organics or other volatiles.  </w:t>
      </w:r>
      <w:r w:rsidR="00CE4989">
        <w:rPr>
          <w:rFonts w:eastAsia="Times New Roman"/>
        </w:rPr>
        <w:t>However</w:t>
      </w:r>
      <w:r w:rsidR="00E56624">
        <w:rPr>
          <w:rFonts w:eastAsia="Times New Roman"/>
        </w:rPr>
        <w:t>,</w:t>
      </w:r>
      <w:r w:rsidR="00CE4989">
        <w:rPr>
          <w:rFonts w:eastAsia="Times New Roman"/>
        </w:rPr>
        <w:t xml:space="preserve"> the composition of the synthetic brine may be modified slightly </w:t>
      </w:r>
      <w:r w:rsidR="003C7B53">
        <w:rPr>
          <w:rFonts w:eastAsia="Times New Roman"/>
        </w:rPr>
        <w:t xml:space="preserve">based on </w:t>
      </w:r>
      <w:r w:rsidR="00E56624">
        <w:rPr>
          <w:rFonts w:eastAsia="Times New Roman"/>
        </w:rPr>
        <w:t xml:space="preserve">the results of </w:t>
      </w:r>
      <w:r w:rsidR="003C7B53">
        <w:rPr>
          <w:rFonts w:eastAsia="Times New Roman"/>
        </w:rPr>
        <w:t xml:space="preserve">chemical </w:t>
      </w:r>
      <w:r w:rsidR="00CE4989">
        <w:rPr>
          <w:rFonts w:eastAsia="Times New Roman"/>
        </w:rPr>
        <w:t>characterization</w:t>
      </w:r>
      <w:r w:rsidR="003C7B53">
        <w:rPr>
          <w:rFonts w:eastAsia="Times New Roman"/>
        </w:rPr>
        <w:t xml:space="preserve"> of </w:t>
      </w:r>
      <w:r w:rsidR="00E56624">
        <w:rPr>
          <w:rFonts w:eastAsia="Times New Roman"/>
        </w:rPr>
        <w:t xml:space="preserve">natural brine </w:t>
      </w:r>
      <w:r w:rsidR="003C7B53">
        <w:rPr>
          <w:rFonts w:eastAsia="Times New Roman"/>
        </w:rPr>
        <w:t>samples</w:t>
      </w:r>
      <w:r>
        <w:rPr>
          <w:rFonts w:eastAsia="Times New Roman"/>
        </w:rPr>
        <w:t xml:space="preserve">. </w:t>
      </w:r>
    </w:p>
    <w:p w14:paraId="1C490F09" w14:textId="4EA23CA7" w:rsidR="007D13B9" w:rsidRPr="00E632C9" w:rsidRDefault="00153527" w:rsidP="00153527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</w:rPr>
      </w:pPr>
      <w:r w:rsidRPr="00E632C9">
        <w:rPr>
          <w:rFonts w:eastAsia="Times New Roman"/>
          <w:b/>
          <w:bCs/>
        </w:rPr>
        <w:t>Can we have a brine parameter ranges we can check with? No need to be exact the same but just give us a reference about temperat</w:t>
      </w:r>
      <w:r w:rsidR="00F60757" w:rsidRPr="00E632C9">
        <w:rPr>
          <w:rFonts w:eastAsia="Times New Roman"/>
          <w:b/>
          <w:bCs/>
        </w:rPr>
        <w:t>ur</w:t>
      </w:r>
      <w:r w:rsidRPr="00E632C9">
        <w:rPr>
          <w:rFonts w:eastAsia="Times New Roman"/>
          <w:b/>
          <w:bCs/>
        </w:rPr>
        <w:t xml:space="preserve">e, which ions are in it and turbidity? Or will it be a blind test? </w:t>
      </w:r>
    </w:p>
    <w:tbl>
      <w:tblPr>
        <w:tblW w:w="4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4"/>
        <w:gridCol w:w="1220"/>
        <w:gridCol w:w="1220"/>
        <w:gridCol w:w="1150"/>
      </w:tblGrid>
      <w:tr w:rsidR="000C7793" w:rsidRPr="00437ECA" w14:paraId="0AD20EE8" w14:textId="77777777" w:rsidTr="00E21042">
        <w:trPr>
          <w:trHeight w:val="300"/>
          <w:jc w:val="center"/>
        </w:trPr>
        <w:tc>
          <w:tcPr>
            <w:tcW w:w="48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AC5C5" w14:textId="57A4A2AD" w:rsidR="000C7793" w:rsidRPr="00437ECA" w:rsidRDefault="00E632C9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Table </w:t>
            </w:r>
            <w:r w:rsidR="00BC5099">
              <w:rPr>
                <w:rFonts w:ascii="Calibri" w:eastAsia="Times New Roman" w:hAnsi="Calibri" w:cs="Calibri"/>
                <w:color w:val="000000"/>
              </w:rPr>
              <w:t>2</w:t>
            </w:r>
            <w:r>
              <w:rPr>
                <w:rFonts w:ascii="Calibri" w:eastAsia="Times New Roman" w:hAnsi="Calibri" w:cs="Calibri"/>
                <w:color w:val="000000"/>
              </w:rPr>
              <w:t xml:space="preserve">. </w:t>
            </w:r>
            <w:r w:rsidR="000C7793">
              <w:rPr>
                <w:rFonts w:ascii="Calibri" w:eastAsia="Times New Roman" w:hAnsi="Calibri" w:cs="Calibri"/>
                <w:color w:val="000000"/>
              </w:rPr>
              <w:t xml:space="preserve">Calculated concentrations of Synthetic Lithium Prize Brine (SLPB) Compared to measured concentrations of </w:t>
            </w:r>
            <w:proofErr w:type="spellStart"/>
            <w:r w:rsidR="000C7793">
              <w:rPr>
                <w:rFonts w:ascii="Calibri" w:eastAsia="Times New Roman" w:hAnsi="Calibri" w:cs="Calibri"/>
                <w:color w:val="000000"/>
              </w:rPr>
              <w:t>Simbol</w:t>
            </w:r>
            <w:proofErr w:type="spellEnd"/>
            <w:r w:rsidR="000C7793">
              <w:rPr>
                <w:rFonts w:ascii="Calibri" w:eastAsia="Times New Roman" w:hAnsi="Calibri" w:cs="Calibri"/>
                <w:color w:val="000000"/>
              </w:rPr>
              <w:t xml:space="preserve"> Feed Brine (SFB).</w:t>
            </w:r>
          </w:p>
        </w:tc>
      </w:tr>
      <w:tr w:rsidR="000C7793" w:rsidRPr="00437ECA" w14:paraId="04C9F2F3" w14:textId="77777777" w:rsidTr="00E21042">
        <w:trPr>
          <w:trHeight w:val="300"/>
          <w:jc w:val="center"/>
        </w:trPr>
        <w:tc>
          <w:tcPr>
            <w:tcW w:w="1264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79282F8" w14:textId="77777777" w:rsidR="000C7793" w:rsidRPr="00437ECA" w:rsidRDefault="000C7793" w:rsidP="00361D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Constituent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B72FC6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SLPB</w:t>
            </w:r>
          </w:p>
        </w:tc>
        <w:tc>
          <w:tcPr>
            <w:tcW w:w="122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0B083F1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SFB</w:t>
            </w:r>
          </w:p>
        </w:tc>
        <w:tc>
          <w:tcPr>
            <w:tcW w:w="11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EC27330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Difference</w:t>
            </w:r>
          </w:p>
        </w:tc>
      </w:tr>
      <w:tr w:rsidR="000C7793" w:rsidRPr="00437ECA" w14:paraId="4AAC8F50" w14:textId="77777777" w:rsidTr="00E21042">
        <w:trPr>
          <w:trHeight w:val="300"/>
          <w:jc w:val="center"/>
        </w:trPr>
        <w:tc>
          <w:tcPr>
            <w:tcW w:w="1264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14:paraId="527A0727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2E7149D2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mg/kg</w:t>
            </w:r>
          </w:p>
        </w:tc>
        <w:tc>
          <w:tcPr>
            <w:tcW w:w="122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4B29D149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mg/kg</w:t>
            </w:r>
          </w:p>
        </w:tc>
        <w:tc>
          <w:tcPr>
            <w:tcW w:w="1150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14:paraId="1E4EA8C0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0C7793" w:rsidRPr="00437ECA" w14:paraId="687B521C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5902C76D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Boron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AA998DB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759F7DB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432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1864E6C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-0.5%</w:t>
            </w:r>
          </w:p>
        </w:tc>
      </w:tr>
      <w:tr w:rsidR="000C7793" w:rsidRPr="00437ECA" w14:paraId="3633B6C8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5E09E3F2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Calcium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C7AAAB5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35,600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8F3BBE4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37,600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97C075F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-5.3%</w:t>
            </w:r>
          </w:p>
        </w:tc>
      </w:tr>
      <w:tr w:rsidR="000C7793" w:rsidRPr="00437ECA" w14:paraId="4B579675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78F7E660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Chloride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94DFB44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177,000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FAD4C6D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165,000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5659BA94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7.3%</w:t>
            </w:r>
          </w:p>
        </w:tc>
      </w:tr>
      <w:tr w:rsidR="000C7793" w:rsidRPr="00437ECA" w14:paraId="421C6D52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7A33E669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Iron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41B372B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1,670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3202B30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1,680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54259D9D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-0.6%</w:t>
            </w:r>
          </w:p>
        </w:tc>
      </w:tr>
      <w:tr w:rsidR="000C7793" w:rsidRPr="00437ECA" w14:paraId="480A7F13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579AC219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Potassium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71514B8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17,900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EC8B64E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6506918B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-5.3%</w:t>
            </w:r>
          </w:p>
        </w:tc>
      </w:tr>
      <w:tr w:rsidR="000C7793" w:rsidRPr="00437ECA" w14:paraId="7B0455FE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55B9E639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Lithium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57C20F3E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ACFA500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232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1AF9C4EC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-0.4%</w:t>
            </w:r>
          </w:p>
        </w:tc>
      </w:tr>
      <w:tr w:rsidR="000C7793" w:rsidRPr="00437ECA" w14:paraId="72314555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7063DD51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Manganese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22E69EE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2,090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9A2B2E5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2,100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41B5B017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-0.5%</w:t>
            </w:r>
          </w:p>
        </w:tc>
      </w:tr>
      <w:tr w:rsidR="0097032B" w:rsidRPr="00437ECA" w14:paraId="59DD49E1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673DCC0E" w14:textId="7704A024" w:rsidR="0097032B" w:rsidRPr="00437ECA" w:rsidRDefault="0097032B" w:rsidP="0097032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Sodium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8CA30CB" w14:textId="6943A45E" w:rsidR="0097032B" w:rsidRPr="00437ECA" w:rsidRDefault="0097032B" w:rsidP="00970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59,400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FBEB151" w14:textId="661B2D47" w:rsidR="0097032B" w:rsidRPr="00437ECA" w:rsidRDefault="0097032B" w:rsidP="00970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62,700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21A5348A" w14:textId="41264FDB" w:rsidR="0097032B" w:rsidRPr="00437ECA" w:rsidRDefault="0097032B" w:rsidP="0097032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-5.3%</w:t>
            </w:r>
          </w:p>
        </w:tc>
      </w:tr>
      <w:tr w:rsidR="000C7793" w:rsidRPr="00437ECA" w14:paraId="1920DC19" w14:textId="77777777" w:rsidTr="00E21042">
        <w:trPr>
          <w:trHeight w:val="300"/>
          <w:jc w:val="center"/>
        </w:trPr>
        <w:tc>
          <w:tcPr>
            <w:tcW w:w="1264" w:type="dxa"/>
            <w:shd w:val="clear" w:color="auto" w:fill="auto"/>
            <w:noWrap/>
            <w:vAlign w:val="center"/>
            <w:hideMark/>
          </w:tcPr>
          <w:p w14:paraId="19681BFA" w14:textId="77777777" w:rsidR="000C7793" w:rsidRPr="00437ECA" w:rsidRDefault="000C7793" w:rsidP="00361DC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TDS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A05F420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296,000</w:t>
            </w:r>
          </w:p>
        </w:tc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1735334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290,000</w:t>
            </w:r>
          </w:p>
        </w:tc>
        <w:tc>
          <w:tcPr>
            <w:tcW w:w="1150" w:type="dxa"/>
            <w:shd w:val="clear" w:color="auto" w:fill="auto"/>
            <w:noWrap/>
            <w:vAlign w:val="center"/>
            <w:hideMark/>
          </w:tcPr>
          <w:p w14:paraId="204BDB18" w14:textId="77777777" w:rsidR="000C7793" w:rsidRPr="00437ECA" w:rsidRDefault="000C7793" w:rsidP="00361D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2.1%</w:t>
            </w:r>
          </w:p>
        </w:tc>
      </w:tr>
    </w:tbl>
    <w:p w14:paraId="573BE364" w14:textId="77777777" w:rsidR="00CB1A99" w:rsidRDefault="00CB1A99" w:rsidP="007D13B9">
      <w:pPr>
        <w:spacing w:after="240" w:line="240" w:lineRule="auto"/>
        <w:ind w:left="720"/>
        <w:textAlignment w:val="center"/>
        <w:rPr>
          <w:rFonts w:eastAsia="Times New Roman"/>
          <w:color w:val="000000" w:themeColor="text1"/>
        </w:rPr>
      </w:pPr>
    </w:p>
    <w:p w14:paraId="0DDFBBD0" w14:textId="08238F44" w:rsidR="00153527" w:rsidRPr="00E632C9" w:rsidRDefault="00530362" w:rsidP="007D13B9">
      <w:pPr>
        <w:spacing w:after="240" w:line="240" w:lineRule="auto"/>
        <w:ind w:left="720"/>
        <w:textAlignment w:val="center"/>
        <w:rPr>
          <w:rFonts w:eastAsia="Times New Roman"/>
          <w:color w:val="000000" w:themeColor="text1"/>
        </w:rPr>
      </w:pPr>
      <w:r w:rsidRPr="00E632C9">
        <w:rPr>
          <w:rFonts w:eastAsia="Times New Roman"/>
          <w:color w:val="000000" w:themeColor="text1"/>
        </w:rPr>
        <w:t xml:space="preserve">The target brine composition is provided </w:t>
      </w:r>
      <w:r w:rsidR="00E21042">
        <w:rPr>
          <w:rFonts w:eastAsia="Times New Roman"/>
          <w:color w:val="000000" w:themeColor="text1"/>
        </w:rPr>
        <w:t xml:space="preserve">in Table </w:t>
      </w:r>
      <w:r w:rsidR="00BC5099">
        <w:rPr>
          <w:rFonts w:eastAsia="Times New Roman"/>
          <w:color w:val="000000" w:themeColor="text1"/>
        </w:rPr>
        <w:t>2</w:t>
      </w:r>
      <w:r w:rsidRPr="00E632C9">
        <w:rPr>
          <w:rFonts w:eastAsia="Times New Roman"/>
          <w:color w:val="000000" w:themeColor="text1"/>
        </w:rPr>
        <w:t>.</w:t>
      </w:r>
      <w:r w:rsidR="00E2632A" w:rsidRPr="00E632C9">
        <w:rPr>
          <w:rFonts w:eastAsia="Times New Roman"/>
          <w:color w:val="000000" w:themeColor="text1"/>
        </w:rPr>
        <w:t xml:space="preserve"> </w:t>
      </w:r>
      <w:r w:rsidRPr="00E632C9">
        <w:rPr>
          <w:rFonts w:eastAsia="Times New Roman"/>
          <w:color w:val="000000" w:themeColor="text1"/>
        </w:rPr>
        <w:t>As</w:t>
      </w:r>
      <w:r w:rsidR="00C855A7" w:rsidRPr="00E632C9">
        <w:rPr>
          <w:rFonts w:eastAsia="Times New Roman"/>
          <w:color w:val="000000" w:themeColor="text1"/>
        </w:rPr>
        <w:t xml:space="preserve"> the intent is to have a single-phase brine there should not be turbidity.</w:t>
      </w:r>
      <w:r w:rsidRPr="00E632C9">
        <w:rPr>
          <w:rFonts w:eastAsia="Times New Roman"/>
          <w:color w:val="000000" w:themeColor="text1"/>
        </w:rPr>
        <w:t xml:space="preserve"> Although, the shipping/preparation temperature of the synthetic brine will be room temperature (~20 </w:t>
      </w:r>
      <w:r w:rsidRPr="00E632C9">
        <w:rPr>
          <w:rFonts w:eastAsia="Times New Roman" w:cstheme="minorHAnsi"/>
          <w:color w:val="000000" w:themeColor="text1"/>
        </w:rPr>
        <w:t>°</w:t>
      </w:r>
      <w:r w:rsidRPr="00E632C9">
        <w:rPr>
          <w:rFonts w:eastAsia="Times New Roman"/>
          <w:color w:val="000000" w:themeColor="text1"/>
        </w:rPr>
        <w:t xml:space="preserve">C), the reinjection temperature of the </w:t>
      </w:r>
      <w:proofErr w:type="spellStart"/>
      <w:r w:rsidRPr="00E632C9">
        <w:rPr>
          <w:rFonts w:eastAsia="Times New Roman"/>
          <w:color w:val="000000" w:themeColor="text1"/>
        </w:rPr>
        <w:t>Simbol</w:t>
      </w:r>
      <w:proofErr w:type="spellEnd"/>
      <w:r w:rsidRPr="00E632C9">
        <w:rPr>
          <w:rFonts w:eastAsia="Times New Roman"/>
          <w:color w:val="000000" w:themeColor="text1"/>
        </w:rPr>
        <w:t xml:space="preserve"> Feed Brine </w:t>
      </w:r>
      <w:r w:rsidR="007B138A" w:rsidRPr="00E632C9">
        <w:rPr>
          <w:rFonts w:eastAsia="Times New Roman"/>
          <w:color w:val="000000" w:themeColor="text1"/>
        </w:rPr>
        <w:t xml:space="preserve">(see </w:t>
      </w:r>
      <w:r w:rsidR="00601DB2">
        <w:rPr>
          <w:rFonts w:eastAsia="Times New Roman"/>
          <w:color w:val="000000" w:themeColor="text1"/>
        </w:rPr>
        <w:t xml:space="preserve">Table </w:t>
      </w:r>
      <w:r w:rsidR="00BC5099">
        <w:rPr>
          <w:rFonts w:eastAsia="Times New Roman"/>
          <w:color w:val="000000" w:themeColor="text1"/>
        </w:rPr>
        <w:t>3</w:t>
      </w:r>
      <w:r w:rsidR="007B138A" w:rsidRPr="00E632C9">
        <w:rPr>
          <w:rFonts w:eastAsia="Times New Roman"/>
          <w:color w:val="000000" w:themeColor="text1"/>
        </w:rPr>
        <w:t xml:space="preserve">) </w:t>
      </w:r>
      <w:r w:rsidRPr="00E632C9">
        <w:rPr>
          <w:rFonts w:eastAsia="Times New Roman"/>
          <w:color w:val="000000" w:themeColor="text1"/>
        </w:rPr>
        <w:t xml:space="preserve">upon which the synthetic brine is based </w:t>
      </w:r>
      <w:r w:rsidR="0085381D" w:rsidRPr="00E632C9">
        <w:rPr>
          <w:rFonts w:eastAsia="Times New Roman"/>
          <w:color w:val="000000" w:themeColor="text1"/>
        </w:rPr>
        <w:t>h</w:t>
      </w:r>
      <w:r w:rsidRPr="00E632C9">
        <w:rPr>
          <w:rFonts w:eastAsia="Times New Roman"/>
          <w:color w:val="000000" w:themeColor="text1"/>
        </w:rPr>
        <w:t xml:space="preserve">as a temperature of ~110 </w:t>
      </w:r>
      <w:r w:rsidRPr="00E632C9">
        <w:rPr>
          <w:rFonts w:eastAsia="Times New Roman" w:cstheme="minorHAnsi"/>
          <w:color w:val="000000" w:themeColor="text1"/>
        </w:rPr>
        <w:t>°C.</w:t>
      </w:r>
    </w:p>
    <w:p w14:paraId="09904912" w14:textId="77777777" w:rsidR="007D13B9" w:rsidRPr="00DE7955" w:rsidRDefault="0090330C" w:rsidP="000837FA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</w:rPr>
      </w:pPr>
      <w:r w:rsidRPr="00DE7955">
        <w:rPr>
          <w:rFonts w:eastAsia="Times New Roman"/>
          <w:b/>
          <w:bCs/>
        </w:rPr>
        <w:t>Will</w:t>
      </w:r>
      <w:r w:rsidR="009B64AD" w:rsidRPr="00DE7955">
        <w:rPr>
          <w:rFonts w:eastAsia="Times New Roman"/>
          <w:b/>
          <w:bCs/>
        </w:rPr>
        <w:t xml:space="preserve"> this brine separate into two phases below boiling? </w:t>
      </w:r>
      <w:r w:rsidR="007D13B9" w:rsidRPr="00DE7955">
        <w:rPr>
          <w:rFonts w:eastAsia="Times New Roman"/>
          <w:b/>
          <w:bCs/>
        </w:rPr>
        <w:t>W</w:t>
      </w:r>
      <w:r w:rsidR="009B64AD" w:rsidRPr="00DE7955">
        <w:rPr>
          <w:rFonts w:eastAsia="Times New Roman"/>
          <w:b/>
          <w:bCs/>
        </w:rPr>
        <w:t>ill it be modified to stay in solution? Will the brines be sub-boiling?</w:t>
      </w:r>
      <w:r w:rsidR="00C855A7" w:rsidRPr="00DE7955">
        <w:rPr>
          <w:rFonts w:eastAsia="Times New Roman"/>
          <w:b/>
          <w:bCs/>
        </w:rPr>
        <w:t xml:space="preserve"> </w:t>
      </w:r>
    </w:p>
    <w:p w14:paraId="73B07144" w14:textId="11538DF8" w:rsidR="009B64AD" w:rsidRPr="007D13B9" w:rsidRDefault="007D13B9" w:rsidP="007D13B9">
      <w:pPr>
        <w:spacing w:after="240" w:line="240" w:lineRule="auto"/>
        <w:ind w:left="720"/>
        <w:textAlignment w:val="center"/>
        <w:rPr>
          <w:rFonts w:eastAsia="Times New Roman"/>
        </w:rPr>
      </w:pPr>
      <w:r w:rsidRPr="007D13B9">
        <w:rPr>
          <w:rFonts w:eastAsia="Times New Roman"/>
        </w:rPr>
        <w:t xml:space="preserve">The </w:t>
      </w:r>
      <w:r w:rsidR="0085381D">
        <w:rPr>
          <w:rFonts w:eastAsia="Times New Roman"/>
        </w:rPr>
        <w:t>s</w:t>
      </w:r>
      <w:r w:rsidRPr="007D13B9">
        <w:rPr>
          <w:rFonts w:eastAsia="Times New Roman"/>
        </w:rPr>
        <w:t xml:space="preserve">ynthetic brine will be a </w:t>
      </w:r>
      <w:r w:rsidR="00C855A7" w:rsidRPr="007D13B9">
        <w:rPr>
          <w:rFonts w:eastAsia="Times New Roman"/>
        </w:rPr>
        <w:t>single phase sub-boiling synthetic brine.</w:t>
      </w:r>
    </w:p>
    <w:p w14:paraId="2F1DF8BF" w14:textId="77777777" w:rsidR="000C3DBC" w:rsidRPr="00E632C9" w:rsidRDefault="0007400C" w:rsidP="0007400C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</w:rPr>
      </w:pPr>
      <w:r w:rsidRPr="00E632C9">
        <w:rPr>
          <w:rFonts w:eastAsia="Times New Roman"/>
          <w:b/>
          <w:bCs/>
        </w:rPr>
        <w:t xml:space="preserve">Is there a standard brine temperature that we all should assume in our work? </w:t>
      </w:r>
    </w:p>
    <w:p w14:paraId="57CFC714" w14:textId="49074BFC" w:rsidR="0007400C" w:rsidRPr="00E632C9" w:rsidRDefault="00242E0E" w:rsidP="000C3DBC">
      <w:pPr>
        <w:spacing w:after="240" w:line="240" w:lineRule="auto"/>
        <w:ind w:left="720"/>
        <w:textAlignment w:val="center"/>
        <w:rPr>
          <w:rFonts w:eastAsia="Times New Roman"/>
          <w:color w:val="000000" w:themeColor="text1"/>
        </w:rPr>
      </w:pPr>
      <w:r w:rsidRPr="00E632C9">
        <w:rPr>
          <w:rFonts w:eastAsia="Times New Roman"/>
          <w:color w:val="000000" w:themeColor="text1"/>
        </w:rPr>
        <w:t>To</w:t>
      </w:r>
      <w:r w:rsidR="000C01C0" w:rsidRPr="00E632C9">
        <w:rPr>
          <w:rFonts w:eastAsia="Times New Roman"/>
          <w:color w:val="000000" w:themeColor="text1"/>
        </w:rPr>
        <w:t xml:space="preserve"> facilitate shipping and handling </w:t>
      </w:r>
      <w:r w:rsidRPr="00E632C9">
        <w:rPr>
          <w:rFonts w:eastAsia="Times New Roman"/>
          <w:color w:val="000000" w:themeColor="text1"/>
        </w:rPr>
        <w:t>the</w:t>
      </w:r>
      <w:r w:rsidR="000C01C0" w:rsidRPr="00E632C9">
        <w:rPr>
          <w:rFonts w:eastAsia="Times New Roman"/>
          <w:color w:val="000000" w:themeColor="text1"/>
        </w:rPr>
        <w:t xml:space="preserve"> develop</w:t>
      </w:r>
      <w:r w:rsidRPr="00E632C9">
        <w:rPr>
          <w:rFonts w:eastAsia="Times New Roman"/>
          <w:color w:val="000000" w:themeColor="text1"/>
        </w:rPr>
        <w:t>ed</w:t>
      </w:r>
      <w:r w:rsidR="000C01C0" w:rsidRPr="00E632C9">
        <w:rPr>
          <w:rFonts w:eastAsia="Times New Roman"/>
          <w:color w:val="000000" w:themeColor="text1"/>
        </w:rPr>
        <w:t xml:space="preserve"> synthetic brine </w:t>
      </w:r>
      <w:r w:rsidRPr="00E632C9">
        <w:rPr>
          <w:rFonts w:eastAsia="Times New Roman"/>
          <w:color w:val="000000" w:themeColor="text1"/>
        </w:rPr>
        <w:t>will be shelf</w:t>
      </w:r>
      <w:r w:rsidR="000C01C0" w:rsidRPr="00E632C9">
        <w:rPr>
          <w:rFonts w:eastAsia="Times New Roman"/>
          <w:color w:val="000000" w:themeColor="text1"/>
        </w:rPr>
        <w:t xml:space="preserve"> stable (e.g., precipitate free) at room temperature</w:t>
      </w:r>
      <w:r w:rsidR="00A14352" w:rsidRPr="00E632C9">
        <w:rPr>
          <w:rFonts w:eastAsia="Times New Roman"/>
          <w:color w:val="000000" w:themeColor="text1"/>
        </w:rPr>
        <w:t xml:space="preserve"> (~20 </w:t>
      </w:r>
      <w:r w:rsidR="00A14352" w:rsidRPr="00E632C9">
        <w:rPr>
          <w:rFonts w:eastAsia="Times New Roman" w:cstheme="minorHAnsi"/>
          <w:color w:val="000000" w:themeColor="text1"/>
        </w:rPr>
        <w:t>°</w:t>
      </w:r>
      <w:r w:rsidR="00A14352" w:rsidRPr="00E632C9">
        <w:rPr>
          <w:rFonts w:eastAsia="Times New Roman"/>
          <w:color w:val="000000" w:themeColor="text1"/>
        </w:rPr>
        <w:t>C)</w:t>
      </w:r>
      <w:r w:rsidR="000C01C0" w:rsidRPr="00E632C9">
        <w:rPr>
          <w:rFonts w:eastAsia="Times New Roman"/>
          <w:color w:val="000000" w:themeColor="text1"/>
        </w:rPr>
        <w:t>.</w:t>
      </w:r>
      <w:r w:rsidRPr="00E632C9">
        <w:rPr>
          <w:rFonts w:eastAsia="Times New Roman"/>
          <w:color w:val="000000" w:themeColor="text1"/>
        </w:rPr>
        <w:t xml:space="preserve"> See response to question 2 regarding possible </w:t>
      </w:r>
      <w:r w:rsidR="007B138A" w:rsidRPr="00E632C9">
        <w:rPr>
          <w:rFonts w:eastAsia="Times New Roman"/>
          <w:color w:val="000000" w:themeColor="text1"/>
        </w:rPr>
        <w:t xml:space="preserve">operating </w:t>
      </w:r>
      <w:r w:rsidRPr="00E632C9">
        <w:rPr>
          <w:rFonts w:eastAsia="Times New Roman"/>
          <w:color w:val="000000" w:themeColor="text1"/>
        </w:rPr>
        <w:t>temperatures.</w:t>
      </w:r>
    </w:p>
    <w:p w14:paraId="470FB780" w14:textId="77777777" w:rsidR="000C3DBC" w:rsidRPr="00DE7955" w:rsidRDefault="009B64AD" w:rsidP="000837FA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</w:rPr>
      </w:pPr>
      <w:r w:rsidRPr="00DE7955">
        <w:rPr>
          <w:rFonts w:eastAsia="Times New Roman"/>
          <w:b/>
          <w:bCs/>
        </w:rPr>
        <w:t>Are these brine air/oxygen sensitive?</w:t>
      </w:r>
    </w:p>
    <w:p w14:paraId="52F62494" w14:textId="19120130" w:rsidR="009B64AD" w:rsidRPr="000C3DBC" w:rsidRDefault="007B138A" w:rsidP="000C3DBC">
      <w:pPr>
        <w:spacing w:after="240" w:line="240" w:lineRule="auto"/>
        <w:ind w:left="720"/>
        <w:textAlignment w:val="center"/>
        <w:rPr>
          <w:rFonts w:eastAsia="Times New Roman"/>
        </w:rPr>
      </w:pPr>
      <w:r>
        <w:rPr>
          <w:rFonts w:eastAsia="Times New Roman"/>
        </w:rPr>
        <w:t>The synthetic brine will include both Fe</w:t>
      </w:r>
      <w:r w:rsidR="00013B84">
        <w:rPr>
          <w:rFonts w:eastAsia="Times New Roman"/>
          <w:vertAlign w:val="superscript"/>
        </w:rPr>
        <w:t>2+</w:t>
      </w:r>
      <w:r w:rsidR="00013B84">
        <w:rPr>
          <w:rFonts w:eastAsia="Times New Roman"/>
        </w:rPr>
        <w:t xml:space="preserve"> and Mn</w:t>
      </w:r>
      <w:r w:rsidR="00013B84">
        <w:rPr>
          <w:rFonts w:eastAsia="Times New Roman"/>
          <w:vertAlign w:val="superscript"/>
        </w:rPr>
        <w:t>2+</w:t>
      </w:r>
      <w:r w:rsidR="0085381D">
        <w:rPr>
          <w:rFonts w:eastAsia="Times New Roman"/>
        </w:rPr>
        <w:t>; although n</w:t>
      </w:r>
      <w:r w:rsidR="00013B84">
        <w:rPr>
          <w:rFonts w:eastAsia="Times New Roman"/>
        </w:rPr>
        <w:t>o attempt will be made to control redox conditions</w:t>
      </w:r>
      <w:r w:rsidR="00E36FD0">
        <w:rPr>
          <w:rFonts w:eastAsia="Times New Roman"/>
        </w:rPr>
        <w:t>,</w:t>
      </w:r>
      <w:r w:rsidR="0085381D">
        <w:rPr>
          <w:rFonts w:eastAsia="Times New Roman"/>
        </w:rPr>
        <w:t xml:space="preserve"> the brine will be delivered in a closed container. </w:t>
      </w:r>
      <w:r w:rsidR="00013B84">
        <w:rPr>
          <w:rFonts w:eastAsia="Times New Roman"/>
        </w:rPr>
        <w:t xml:space="preserve">Given the </w:t>
      </w:r>
      <w:r w:rsidR="0085381D">
        <w:rPr>
          <w:rFonts w:eastAsia="Times New Roman"/>
        </w:rPr>
        <w:t xml:space="preserve">low </w:t>
      </w:r>
      <w:r w:rsidR="00013B84">
        <w:rPr>
          <w:rFonts w:eastAsia="Times New Roman"/>
        </w:rPr>
        <w:t xml:space="preserve">target pH of </w:t>
      </w:r>
      <w:r w:rsidR="00013B84">
        <w:rPr>
          <w:rFonts w:eastAsia="Times New Roman"/>
        </w:rPr>
        <w:lastRenderedPageBreak/>
        <w:t xml:space="preserve">the synthetic brine neither Fe- </w:t>
      </w:r>
      <w:r w:rsidR="00601DB2">
        <w:rPr>
          <w:rFonts w:eastAsia="Times New Roman"/>
        </w:rPr>
        <w:t>nor</w:t>
      </w:r>
      <w:r w:rsidR="00013B84">
        <w:rPr>
          <w:rFonts w:eastAsia="Times New Roman"/>
        </w:rPr>
        <w:t xml:space="preserve"> Mn-hydrous oxides are expected to precipitate if the brine </w:t>
      </w:r>
      <w:r w:rsidR="00601DB2">
        <w:rPr>
          <w:rFonts w:eastAsia="Times New Roman"/>
        </w:rPr>
        <w:t>inadvertently</w:t>
      </w:r>
      <w:r w:rsidR="00013B84">
        <w:rPr>
          <w:rFonts w:eastAsia="Times New Roman"/>
        </w:rPr>
        <w:t xml:space="preserve"> become oxidized.</w:t>
      </w:r>
    </w:p>
    <w:p w14:paraId="32FDE2A1" w14:textId="77777777" w:rsidR="002E2A10" w:rsidRPr="00E632C9" w:rsidRDefault="007E58DF" w:rsidP="007E58DF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  <w:color w:val="0070C0"/>
        </w:rPr>
      </w:pPr>
      <w:r w:rsidRPr="00E632C9">
        <w:rPr>
          <w:rFonts w:eastAsia="Times New Roman"/>
          <w:b/>
          <w:bCs/>
        </w:rPr>
        <w:t xml:space="preserve">What constituents are missing </w:t>
      </w:r>
      <w:r w:rsidR="00D768BE" w:rsidRPr="00E632C9">
        <w:rPr>
          <w:rFonts w:eastAsia="Times New Roman"/>
          <w:b/>
          <w:bCs/>
        </w:rPr>
        <w:t>from the synthetic brine that are present in r</w:t>
      </w:r>
      <w:r w:rsidRPr="00E632C9">
        <w:rPr>
          <w:rFonts w:eastAsia="Times New Roman"/>
          <w:b/>
          <w:bCs/>
        </w:rPr>
        <w:t>eal Salton Sea brine?</w:t>
      </w:r>
    </w:p>
    <w:p w14:paraId="7CB8AA8F" w14:textId="33CC9995" w:rsidR="007E58DF" w:rsidRPr="00E632C9" w:rsidRDefault="00CB2122" w:rsidP="002E2A10">
      <w:pPr>
        <w:spacing w:after="240" w:line="240" w:lineRule="auto"/>
        <w:ind w:left="720"/>
        <w:textAlignment w:val="center"/>
        <w:rPr>
          <w:rFonts w:eastAsia="Times New Roman"/>
          <w:color w:val="000000" w:themeColor="text1"/>
        </w:rPr>
      </w:pPr>
      <w:r w:rsidRPr="00E632C9">
        <w:rPr>
          <w:rFonts w:eastAsia="Times New Roman"/>
          <w:color w:val="000000" w:themeColor="text1"/>
        </w:rPr>
        <w:t xml:space="preserve">The </w:t>
      </w:r>
      <w:r w:rsidR="00E632C9">
        <w:rPr>
          <w:rFonts w:eastAsia="Times New Roman"/>
          <w:color w:val="000000" w:themeColor="text1"/>
        </w:rPr>
        <w:t>s</w:t>
      </w:r>
      <w:r w:rsidRPr="00E632C9">
        <w:rPr>
          <w:rFonts w:eastAsia="Times New Roman"/>
          <w:color w:val="000000" w:themeColor="text1"/>
        </w:rPr>
        <w:t>ynthetic brine only include</w:t>
      </w:r>
      <w:r w:rsidR="00E632C9">
        <w:rPr>
          <w:rFonts w:eastAsia="Times New Roman"/>
          <w:color w:val="000000" w:themeColor="text1"/>
        </w:rPr>
        <w:t>s</w:t>
      </w:r>
      <w:r w:rsidRPr="00E632C9">
        <w:rPr>
          <w:rFonts w:eastAsia="Times New Roman"/>
          <w:color w:val="000000" w:themeColor="text1"/>
        </w:rPr>
        <w:t xml:space="preserve"> constituents that are present in the </w:t>
      </w:r>
      <w:proofErr w:type="spellStart"/>
      <w:r w:rsidRPr="00E632C9">
        <w:rPr>
          <w:rFonts w:eastAsia="Times New Roman"/>
          <w:color w:val="000000" w:themeColor="text1"/>
        </w:rPr>
        <w:t>Simbol</w:t>
      </w:r>
      <w:proofErr w:type="spellEnd"/>
      <w:r w:rsidRPr="00E632C9">
        <w:rPr>
          <w:rFonts w:eastAsia="Times New Roman"/>
          <w:color w:val="000000" w:themeColor="text1"/>
        </w:rPr>
        <w:t xml:space="preserve"> Feed Brine </w:t>
      </w:r>
      <w:r w:rsidR="00F240B5" w:rsidRPr="00E632C9">
        <w:rPr>
          <w:rFonts w:eastAsia="Times New Roman"/>
          <w:color w:val="000000" w:themeColor="text1"/>
        </w:rPr>
        <w:t xml:space="preserve">(see </w:t>
      </w:r>
      <w:r w:rsidR="00E21042">
        <w:rPr>
          <w:rFonts w:eastAsia="Times New Roman"/>
          <w:color w:val="000000" w:themeColor="text1"/>
        </w:rPr>
        <w:t>Table 2</w:t>
      </w:r>
      <w:r w:rsidR="00F240B5" w:rsidRPr="00E632C9">
        <w:rPr>
          <w:rFonts w:eastAsia="Times New Roman"/>
          <w:color w:val="000000" w:themeColor="text1"/>
        </w:rPr>
        <w:t xml:space="preserve">) </w:t>
      </w:r>
      <w:r w:rsidRPr="00E632C9">
        <w:rPr>
          <w:rFonts w:eastAsia="Times New Roman"/>
          <w:color w:val="000000" w:themeColor="text1"/>
        </w:rPr>
        <w:t xml:space="preserve">at concentration greater than 0.04 molal. Exclude constituents include </w:t>
      </w:r>
      <w:r w:rsidR="00F240B5" w:rsidRPr="00E632C9">
        <w:rPr>
          <w:rFonts w:eastAsia="Times New Roman"/>
          <w:color w:val="000000" w:themeColor="text1"/>
        </w:rPr>
        <w:t xml:space="preserve">aluminum, ammonia, antimony, arsenic, </w:t>
      </w:r>
      <w:r w:rsidRPr="00E632C9">
        <w:rPr>
          <w:rFonts w:eastAsia="Times New Roman"/>
          <w:color w:val="000000" w:themeColor="text1"/>
        </w:rPr>
        <w:t xml:space="preserve">barium, copper, fluoride, </w:t>
      </w:r>
      <w:r w:rsidR="00F240B5" w:rsidRPr="00E632C9">
        <w:rPr>
          <w:rFonts w:eastAsia="Times New Roman"/>
          <w:color w:val="000000" w:themeColor="text1"/>
        </w:rPr>
        <w:t xml:space="preserve">lead </w:t>
      </w:r>
      <w:r w:rsidRPr="00E632C9">
        <w:rPr>
          <w:rFonts w:eastAsia="Times New Roman"/>
          <w:color w:val="000000" w:themeColor="text1"/>
        </w:rPr>
        <w:t>magnesium, ammoni</w:t>
      </w:r>
      <w:r w:rsidR="00F240B5" w:rsidRPr="00E632C9">
        <w:rPr>
          <w:rFonts w:eastAsia="Times New Roman"/>
          <w:color w:val="000000" w:themeColor="text1"/>
        </w:rPr>
        <w:t>a</w:t>
      </w:r>
      <w:r w:rsidRPr="00E632C9">
        <w:rPr>
          <w:rFonts w:eastAsia="Times New Roman"/>
          <w:color w:val="000000" w:themeColor="text1"/>
        </w:rPr>
        <w:t xml:space="preserve">, </w:t>
      </w:r>
      <w:r w:rsidR="00F240B5" w:rsidRPr="00E632C9">
        <w:rPr>
          <w:rFonts w:eastAsia="Times New Roman"/>
          <w:color w:val="000000" w:themeColor="text1"/>
        </w:rPr>
        <w:t xml:space="preserve">silica, silver, </w:t>
      </w:r>
      <w:r w:rsidRPr="00E632C9">
        <w:rPr>
          <w:rFonts w:eastAsia="Times New Roman"/>
          <w:color w:val="000000" w:themeColor="text1"/>
        </w:rPr>
        <w:t>sulfate</w:t>
      </w:r>
      <w:r w:rsidR="00F240B5" w:rsidRPr="00E632C9">
        <w:rPr>
          <w:rFonts w:eastAsia="Times New Roman"/>
          <w:color w:val="000000" w:themeColor="text1"/>
        </w:rPr>
        <w:t xml:space="preserve">, </w:t>
      </w:r>
      <w:r w:rsidR="00E2632A" w:rsidRPr="00E632C9">
        <w:rPr>
          <w:rFonts w:eastAsia="Times New Roman"/>
          <w:color w:val="000000" w:themeColor="text1"/>
        </w:rPr>
        <w:t xml:space="preserve">and </w:t>
      </w:r>
      <w:r w:rsidR="00F240B5" w:rsidRPr="00E632C9">
        <w:rPr>
          <w:rFonts w:eastAsia="Times New Roman"/>
          <w:color w:val="000000" w:themeColor="text1"/>
        </w:rPr>
        <w:t>strontium</w:t>
      </w:r>
      <w:r w:rsidR="00E2632A" w:rsidRPr="00E632C9">
        <w:rPr>
          <w:rFonts w:eastAsia="Times New Roman"/>
          <w:color w:val="000000" w:themeColor="text1"/>
        </w:rPr>
        <w:t xml:space="preserve">. </w:t>
      </w:r>
      <w:r w:rsidRPr="00E632C9">
        <w:rPr>
          <w:rFonts w:eastAsia="Times New Roman"/>
          <w:color w:val="000000" w:themeColor="text1"/>
        </w:rPr>
        <w:t xml:space="preserve"> </w:t>
      </w:r>
      <w:r w:rsidR="00E2632A" w:rsidRPr="00E632C9">
        <w:rPr>
          <w:rFonts w:eastAsia="Times New Roman"/>
          <w:color w:val="000000" w:themeColor="text1"/>
        </w:rPr>
        <w:t>Also see response to question 1 above.</w:t>
      </w:r>
    </w:p>
    <w:p w14:paraId="3082F62B" w14:textId="77777777" w:rsidR="00BA3B82" w:rsidRPr="00DE7955" w:rsidRDefault="001875C9" w:rsidP="000837FA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</w:rPr>
      </w:pPr>
      <w:r w:rsidRPr="00DE7955">
        <w:rPr>
          <w:rFonts w:eastAsia="Times New Roman"/>
          <w:b/>
          <w:bCs/>
        </w:rPr>
        <w:t>W</w:t>
      </w:r>
      <w:r w:rsidR="00650241" w:rsidRPr="00DE7955">
        <w:rPr>
          <w:rFonts w:eastAsia="Times New Roman"/>
          <w:b/>
          <w:bCs/>
        </w:rPr>
        <w:t>hat real brine sample (e.g., after crystallization reaction clarifier CRC process or after acidification) does the synthetic brine represents</w:t>
      </w:r>
      <w:r w:rsidRPr="00DE7955">
        <w:rPr>
          <w:rFonts w:eastAsia="Times New Roman"/>
          <w:b/>
          <w:bCs/>
        </w:rPr>
        <w:t>?</w:t>
      </w:r>
      <w:r w:rsidR="00650241" w:rsidRPr="00DE7955">
        <w:rPr>
          <w:rFonts w:eastAsia="Times New Roman"/>
          <w:b/>
          <w:bCs/>
        </w:rPr>
        <w:t> </w:t>
      </w:r>
    </w:p>
    <w:p w14:paraId="39C7DB76" w14:textId="2DBC884A" w:rsidR="00650241" w:rsidRPr="0013216C" w:rsidRDefault="00BA3B82" w:rsidP="00BA3B82">
      <w:pPr>
        <w:spacing w:after="240" w:line="240" w:lineRule="auto"/>
        <w:ind w:left="720"/>
        <w:textAlignment w:val="center"/>
        <w:rPr>
          <w:rFonts w:eastAsia="Times New Roman"/>
        </w:rPr>
      </w:pPr>
      <w:r w:rsidRPr="0013216C">
        <w:rPr>
          <w:rFonts w:eastAsia="Times New Roman"/>
        </w:rPr>
        <w:t>The synthetic brine will be representing the</w:t>
      </w:r>
      <w:r w:rsidR="00F725F6" w:rsidRPr="0013216C">
        <w:rPr>
          <w:rFonts w:eastAsia="Times New Roman"/>
        </w:rPr>
        <w:t xml:space="preserve"> “</w:t>
      </w:r>
      <w:proofErr w:type="spellStart"/>
      <w:r w:rsidR="00F725F6" w:rsidRPr="0013216C">
        <w:rPr>
          <w:rFonts w:ascii="Calibri" w:hAnsi="Calibri" w:cs="Calibri"/>
        </w:rPr>
        <w:t>Simbol</w:t>
      </w:r>
      <w:proofErr w:type="spellEnd"/>
      <w:r w:rsidR="00F725F6" w:rsidRPr="0013216C">
        <w:rPr>
          <w:rFonts w:ascii="Calibri" w:hAnsi="Calibri" w:cs="Calibri"/>
        </w:rPr>
        <w:t xml:space="preserve"> Feed </w:t>
      </w:r>
      <w:r w:rsidR="00162AFC" w:rsidRPr="0013216C">
        <w:rPr>
          <w:rFonts w:ascii="Calibri" w:hAnsi="Calibri" w:cs="Calibri"/>
        </w:rPr>
        <w:t xml:space="preserve">Brine” </w:t>
      </w:r>
      <w:r w:rsidR="00162AFC" w:rsidRPr="00E632C9">
        <w:rPr>
          <w:rFonts w:ascii="Calibri" w:hAnsi="Calibri" w:cs="Calibri"/>
        </w:rPr>
        <w:t>(</w:t>
      </w:r>
      <w:r w:rsidR="00E632C9" w:rsidRPr="00E632C9">
        <w:rPr>
          <w:rFonts w:eastAsia="Times New Roman"/>
          <w:color w:val="000000" w:themeColor="text1"/>
        </w:rPr>
        <w:t xml:space="preserve">see </w:t>
      </w:r>
      <w:r w:rsidR="00E21042">
        <w:rPr>
          <w:rFonts w:eastAsia="Times New Roman"/>
          <w:color w:val="000000" w:themeColor="text1"/>
        </w:rPr>
        <w:t xml:space="preserve">Table </w:t>
      </w:r>
      <w:r w:rsidR="00BC5099">
        <w:rPr>
          <w:rFonts w:eastAsia="Times New Roman"/>
          <w:color w:val="000000" w:themeColor="text1"/>
        </w:rPr>
        <w:t>3</w:t>
      </w:r>
      <w:r w:rsidRPr="00E632C9">
        <w:rPr>
          <w:rFonts w:ascii="Calibri" w:hAnsi="Calibri" w:cs="Calibri"/>
        </w:rPr>
        <w:t>)</w:t>
      </w:r>
      <w:r w:rsidRPr="0013216C">
        <w:rPr>
          <w:rFonts w:ascii="Calibri" w:hAnsi="Calibri" w:cs="Calibri"/>
        </w:rPr>
        <w:t xml:space="preserve"> that is esse</w:t>
      </w:r>
      <w:r w:rsidR="00F52E1F" w:rsidRPr="0013216C">
        <w:rPr>
          <w:rFonts w:ascii="Calibri" w:hAnsi="Calibri" w:cs="Calibri"/>
        </w:rPr>
        <w:t>ntially the injection brine from the crystallizer/clarifier process</w:t>
      </w:r>
      <w:r w:rsidR="00F725F6" w:rsidRPr="0013216C">
        <w:rPr>
          <w:rFonts w:ascii="Calibri" w:hAnsi="Calibri" w:cs="Calibri"/>
        </w:rPr>
        <w:t>.</w:t>
      </w:r>
    </w:p>
    <w:p w14:paraId="11EFADA6" w14:textId="0F7FADEC" w:rsidR="0013216C" w:rsidRPr="00DE7955" w:rsidRDefault="00147275" w:rsidP="000837FA">
      <w:pPr>
        <w:numPr>
          <w:ilvl w:val="0"/>
          <w:numId w:val="1"/>
        </w:numPr>
        <w:spacing w:after="240" w:line="240" w:lineRule="auto"/>
        <w:textAlignment w:val="center"/>
        <w:rPr>
          <w:rFonts w:eastAsia="Times New Roman"/>
          <w:b/>
          <w:bCs/>
          <w:color w:val="FF0000"/>
        </w:rPr>
      </w:pPr>
      <w:r w:rsidRPr="00DE7955">
        <w:rPr>
          <w:rFonts w:eastAsia="Times New Roman"/>
          <w:b/>
          <w:bCs/>
        </w:rPr>
        <w:t>W</w:t>
      </w:r>
      <w:r w:rsidR="00650241" w:rsidRPr="00DE7955">
        <w:rPr>
          <w:rFonts w:eastAsia="Times New Roman"/>
          <w:b/>
          <w:bCs/>
        </w:rPr>
        <w:t xml:space="preserve">hat safety features needed to be followed while performing experiments with brine </w:t>
      </w:r>
      <w:r w:rsidR="00520B13" w:rsidRPr="00DE7955">
        <w:rPr>
          <w:rFonts w:eastAsia="Times New Roman"/>
          <w:b/>
          <w:bCs/>
        </w:rPr>
        <w:t>and</w:t>
      </w:r>
      <w:r w:rsidR="00650241" w:rsidRPr="00DE7955">
        <w:rPr>
          <w:rFonts w:eastAsia="Times New Roman"/>
          <w:b/>
          <w:bCs/>
        </w:rPr>
        <w:t xml:space="preserve"> the disposal provisions</w:t>
      </w:r>
      <w:r w:rsidRPr="00DE7955">
        <w:rPr>
          <w:rFonts w:eastAsia="Times New Roman"/>
          <w:b/>
          <w:bCs/>
        </w:rPr>
        <w:t>?</w:t>
      </w:r>
      <w:r w:rsidR="00F725F6" w:rsidRPr="00DE7955">
        <w:rPr>
          <w:rFonts w:eastAsia="Times New Roman"/>
          <w:b/>
          <w:bCs/>
        </w:rPr>
        <w:t xml:space="preserve"> </w:t>
      </w:r>
    </w:p>
    <w:p w14:paraId="48EE1E58" w14:textId="3B85F727" w:rsidR="00650241" w:rsidRDefault="0013216C" w:rsidP="0013216C">
      <w:pPr>
        <w:spacing w:after="240" w:line="240" w:lineRule="auto"/>
        <w:ind w:left="720"/>
        <w:textAlignment w:val="center"/>
        <w:rPr>
          <w:rFonts w:eastAsia="Times New Roman"/>
        </w:rPr>
      </w:pPr>
      <w:r>
        <w:rPr>
          <w:rFonts w:eastAsia="Times New Roman"/>
        </w:rPr>
        <w:t xml:space="preserve">Safety procedures will be forthcoming for use in Phase 3. </w:t>
      </w:r>
    </w:p>
    <w:p w14:paraId="61A62C13" w14:textId="77777777" w:rsidR="007B138A" w:rsidRDefault="007B138A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1D675BB3" w14:textId="0DDBD192" w:rsidR="007B138A" w:rsidRDefault="00E21042" w:rsidP="0013216C">
      <w:pPr>
        <w:spacing w:after="240" w:line="240" w:lineRule="auto"/>
        <w:ind w:left="720"/>
        <w:textAlignment w:val="center"/>
        <w:rPr>
          <w:rFonts w:eastAsia="Times New Roman"/>
        </w:rPr>
      </w:pPr>
      <w:r>
        <w:rPr>
          <w:rFonts w:eastAsia="Times New Roman"/>
        </w:rPr>
        <w:lastRenderedPageBreak/>
        <w:t xml:space="preserve">Table </w:t>
      </w:r>
      <w:r w:rsidR="00BC5099">
        <w:rPr>
          <w:rFonts w:eastAsia="Times New Roman"/>
        </w:rPr>
        <w:t>3</w:t>
      </w:r>
      <w:r>
        <w:rPr>
          <w:rFonts w:eastAsia="Times New Roman"/>
        </w:rPr>
        <w:t xml:space="preserve">. </w:t>
      </w:r>
      <w:proofErr w:type="spellStart"/>
      <w:r w:rsidR="007B138A">
        <w:rPr>
          <w:rFonts w:eastAsia="Times New Roman"/>
        </w:rPr>
        <w:t>Simbol</w:t>
      </w:r>
      <w:proofErr w:type="spellEnd"/>
      <w:r w:rsidR="007B138A">
        <w:rPr>
          <w:rFonts w:eastAsia="Times New Roman"/>
        </w:rPr>
        <w:t xml:space="preserve"> Feed Brine Composition</w:t>
      </w:r>
    </w:p>
    <w:p w14:paraId="21CE39C1" w14:textId="1683D86A" w:rsidR="007B138A" w:rsidRPr="00F725F6" w:rsidRDefault="007B138A" w:rsidP="0013216C">
      <w:pPr>
        <w:spacing w:after="240" w:line="240" w:lineRule="auto"/>
        <w:ind w:left="720"/>
        <w:textAlignment w:val="center"/>
        <w:rPr>
          <w:rFonts w:eastAsia="Times New Roman"/>
          <w:color w:val="FF0000"/>
        </w:rPr>
      </w:pPr>
      <w:r w:rsidRPr="007B138A">
        <w:rPr>
          <w:rFonts w:eastAsia="Times New Roman"/>
          <w:noProof/>
          <w:color w:val="FF0000"/>
        </w:rPr>
        <w:drawing>
          <wp:inline distT="0" distB="0" distL="0" distR="0" wp14:anchorId="6BAD1A09" wp14:editId="3313B7ED">
            <wp:extent cx="5019675" cy="58388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583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138A" w:rsidRPr="00F725F6" w:rsidSect="007E1BA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F67274"/>
    <w:multiLevelType w:val="multilevel"/>
    <w:tmpl w:val="A1D61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F806FCE"/>
    <w:multiLevelType w:val="hybridMultilevel"/>
    <w:tmpl w:val="56848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B3"/>
    <w:rsid w:val="00013B84"/>
    <w:rsid w:val="0007400C"/>
    <w:rsid w:val="000837FA"/>
    <w:rsid w:val="000C01C0"/>
    <w:rsid w:val="000C3DBC"/>
    <w:rsid w:val="000C7793"/>
    <w:rsid w:val="001072E0"/>
    <w:rsid w:val="0013216C"/>
    <w:rsid w:val="00147275"/>
    <w:rsid w:val="00153527"/>
    <w:rsid w:val="00162AFC"/>
    <w:rsid w:val="001875C9"/>
    <w:rsid w:val="001A4A72"/>
    <w:rsid w:val="001C0AC2"/>
    <w:rsid w:val="001D0913"/>
    <w:rsid w:val="002008D0"/>
    <w:rsid w:val="00242E0E"/>
    <w:rsid w:val="00292353"/>
    <w:rsid w:val="002D5FFE"/>
    <w:rsid w:val="002E2A10"/>
    <w:rsid w:val="0033734B"/>
    <w:rsid w:val="00340E64"/>
    <w:rsid w:val="003C7B53"/>
    <w:rsid w:val="00434655"/>
    <w:rsid w:val="004365B4"/>
    <w:rsid w:val="004C6175"/>
    <w:rsid w:val="00520B13"/>
    <w:rsid w:val="00530362"/>
    <w:rsid w:val="00537357"/>
    <w:rsid w:val="005419E7"/>
    <w:rsid w:val="00544356"/>
    <w:rsid w:val="005A2FA6"/>
    <w:rsid w:val="00601DB2"/>
    <w:rsid w:val="00617B0A"/>
    <w:rsid w:val="00650241"/>
    <w:rsid w:val="00697F41"/>
    <w:rsid w:val="006D1EFC"/>
    <w:rsid w:val="00796FEF"/>
    <w:rsid w:val="007A55C8"/>
    <w:rsid w:val="007B138A"/>
    <w:rsid w:val="007C195C"/>
    <w:rsid w:val="007D13B9"/>
    <w:rsid w:val="007E1BAC"/>
    <w:rsid w:val="007E58DF"/>
    <w:rsid w:val="0082497F"/>
    <w:rsid w:val="00843ABC"/>
    <w:rsid w:val="0085381D"/>
    <w:rsid w:val="0090330C"/>
    <w:rsid w:val="00904C02"/>
    <w:rsid w:val="00932CFE"/>
    <w:rsid w:val="0097032B"/>
    <w:rsid w:val="009B64AD"/>
    <w:rsid w:val="009F5026"/>
    <w:rsid w:val="00A14352"/>
    <w:rsid w:val="00AB3638"/>
    <w:rsid w:val="00B35C64"/>
    <w:rsid w:val="00BA3B82"/>
    <w:rsid w:val="00BC5099"/>
    <w:rsid w:val="00BF3E7B"/>
    <w:rsid w:val="00C027B1"/>
    <w:rsid w:val="00C54036"/>
    <w:rsid w:val="00C6459E"/>
    <w:rsid w:val="00C855A7"/>
    <w:rsid w:val="00CB1A99"/>
    <w:rsid w:val="00CB2122"/>
    <w:rsid w:val="00CD052E"/>
    <w:rsid w:val="00CE4989"/>
    <w:rsid w:val="00D35CB3"/>
    <w:rsid w:val="00D37D5A"/>
    <w:rsid w:val="00D768BE"/>
    <w:rsid w:val="00DE402F"/>
    <w:rsid w:val="00DE5F1C"/>
    <w:rsid w:val="00DE7955"/>
    <w:rsid w:val="00E161B7"/>
    <w:rsid w:val="00E21042"/>
    <w:rsid w:val="00E2632A"/>
    <w:rsid w:val="00E36FD0"/>
    <w:rsid w:val="00E56624"/>
    <w:rsid w:val="00E632C9"/>
    <w:rsid w:val="00E76BEE"/>
    <w:rsid w:val="00F240B5"/>
    <w:rsid w:val="00F52E1F"/>
    <w:rsid w:val="00F56713"/>
    <w:rsid w:val="00F60757"/>
    <w:rsid w:val="00F725F6"/>
    <w:rsid w:val="00F754E3"/>
    <w:rsid w:val="00FB0DC0"/>
    <w:rsid w:val="00FB65B4"/>
    <w:rsid w:val="00FD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0D7F5"/>
  <w15:chartTrackingRefBased/>
  <w15:docId w15:val="{01BF2733-B043-4D06-9377-600E0395A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B0D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D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D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D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0DC0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04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4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Prisjatschew, Alexandra</dc:creator>
  <cp:keywords/>
  <dc:description/>
  <cp:lastModifiedBy>Prisjatschew, Alexandra</cp:lastModifiedBy>
  <cp:revision>10</cp:revision>
  <dcterms:created xsi:type="dcterms:W3CDTF">2022-04-22T00:01:00Z</dcterms:created>
  <dcterms:modified xsi:type="dcterms:W3CDTF">2022-04-22T20:14:00Z</dcterms:modified>
</cp:coreProperties>
</file>