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F7E93A" w14:textId="12A78FE1" w:rsidR="0051323A" w:rsidRDefault="000B001A" w:rsidP="00224EA0">
      <w:pPr>
        <w:outlineLvl w:val="0"/>
        <w:rPr>
          <w:rFonts w:ascii="Calibri" w:hAnsi="Calibri" w:cs="Calibri"/>
        </w:rPr>
      </w:pPr>
      <w:r>
        <w:rPr>
          <w:rFonts w:ascii="Calibri" w:hAnsi="Calibri"/>
        </w:rPr>
        <w:t>Glossaire − Opioid Data Challenge :</w:t>
      </w:r>
    </w:p>
    <w:p w14:paraId="6B46FD0E" w14:textId="77777777" w:rsidR="000B001A" w:rsidRPr="005E0ED3" w:rsidRDefault="000B001A" w:rsidP="00224EA0">
      <w:pPr>
        <w:outlineLvl w:val="0"/>
        <w:rPr>
          <w:rFonts w:ascii="Calibri" w:hAnsi="Calibri" w:cs="Calibri"/>
          <w:i/>
        </w:rPr>
      </w:pPr>
    </w:p>
    <w:tbl>
      <w:tblPr>
        <w:tblStyle w:val="TableGrid"/>
        <w:tblW w:w="0" w:type="auto"/>
        <w:tblLook w:val="04A0" w:firstRow="1" w:lastRow="0" w:firstColumn="1" w:lastColumn="0" w:noHBand="0" w:noVBand="1"/>
      </w:tblPr>
      <w:tblGrid>
        <w:gridCol w:w="2671"/>
        <w:gridCol w:w="8523"/>
      </w:tblGrid>
      <w:tr w:rsidR="000B001A" w:rsidRPr="005E0ED3" w14:paraId="651FCDB4" w14:textId="77777777" w:rsidTr="000B001A">
        <w:tc>
          <w:tcPr>
            <w:tcW w:w="2671" w:type="dxa"/>
          </w:tcPr>
          <w:p w14:paraId="13BB41E5" w14:textId="77777777" w:rsidR="000B001A" w:rsidRPr="005E0ED3" w:rsidRDefault="000B001A" w:rsidP="00F96E65">
            <w:pPr>
              <w:rPr>
                <w:rFonts w:ascii="Calibri" w:hAnsi="Calibri" w:cs="Calibri"/>
              </w:rPr>
            </w:pPr>
            <w:r>
              <w:rPr>
                <w:rFonts w:ascii="Calibri" w:hAnsi="Calibri"/>
              </w:rPr>
              <w:t>Terme</w:t>
            </w:r>
          </w:p>
        </w:tc>
        <w:tc>
          <w:tcPr>
            <w:tcW w:w="8523" w:type="dxa"/>
          </w:tcPr>
          <w:p w14:paraId="11DBB05B" w14:textId="77777777" w:rsidR="000B001A" w:rsidRPr="005E0ED3" w:rsidRDefault="000B001A" w:rsidP="00F96E65">
            <w:pPr>
              <w:rPr>
                <w:rFonts w:ascii="Calibri" w:hAnsi="Calibri" w:cs="Calibri"/>
              </w:rPr>
            </w:pPr>
            <w:r>
              <w:rPr>
                <w:rFonts w:ascii="Calibri" w:hAnsi="Calibri"/>
              </w:rPr>
              <w:t>Description</w:t>
            </w:r>
          </w:p>
        </w:tc>
      </w:tr>
      <w:tr w:rsidR="000B001A" w:rsidRPr="005E0ED3" w14:paraId="5EAADACD" w14:textId="77777777" w:rsidTr="000B001A">
        <w:tc>
          <w:tcPr>
            <w:tcW w:w="2671" w:type="dxa"/>
          </w:tcPr>
          <w:p w14:paraId="100CFE06" w14:textId="35D06B55" w:rsidR="000B001A" w:rsidRPr="005E0ED3" w:rsidRDefault="000B001A" w:rsidP="00F96E65">
            <w:pPr>
              <w:rPr>
                <w:rFonts w:ascii="Calibri" w:hAnsi="Calibri" w:cs="Calibri"/>
                <w:sz w:val="22"/>
                <w:szCs w:val="22"/>
              </w:rPr>
            </w:pPr>
            <w:r>
              <w:rPr>
                <w:rFonts w:ascii="Calibri" w:hAnsi="Calibri"/>
                <w:sz w:val="22"/>
                <w:szCs w:val="22"/>
              </w:rPr>
              <w:t>Accessibilité (des données)</w:t>
            </w:r>
          </w:p>
        </w:tc>
        <w:tc>
          <w:tcPr>
            <w:tcW w:w="8523" w:type="dxa"/>
          </w:tcPr>
          <w:p w14:paraId="5D79E9EB" w14:textId="2D2438D9" w:rsidR="000B001A" w:rsidRPr="005E0ED3" w:rsidRDefault="000B001A" w:rsidP="008701FE">
            <w:pPr>
              <w:pStyle w:val="NormalWeb"/>
              <w:spacing w:before="0" w:beforeAutospacing="0" w:after="173" w:afterAutospacing="0"/>
              <w:rPr>
                <w:rFonts w:ascii="Calibri" w:hAnsi="Calibri" w:cs="Calibri"/>
                <w:color w:val="333333"/>
                <w:sz w:val="22"/>
                <w:szCs w:val="22"/>
              </w:rPr>
            </w:pPr>
            <w:r>
              <w:rPr>
                <w:rFonts w:ascii="Calibri" w:hAnsi="Calibri"/>
                <w:color w:val="333333"/>
                <w:sz w:val="22"/>
                <w:szCs w:val="22"/>
              </w:rPr>
              <w:t>L’accessibilité des données désigne la mesure dans laquelle les données sont accessibles et peuvent être extraites ou utilisées en tenant compte des contraintes juridiques et réglementaires (par exemple, en termes d’accès, les données ouvertes sont plus accessibles que celles mises à disposition par les centres de données de recherche de Statistique Canada; de plus, certains formats de données sont plus accessibles que d’autres en raison de leur niveau de complexité ou de leur configuration logicielle).</w:t>
            </w:r>
          </w:p>
        </w:tc>
      </w:tr>
      <w:tr w:rsidR="000B001A" w:rsidRPr="005E0ED3" w14:paraId="45573154" w14:textId="77777777" w:rsidTr="000B001A">
        <w:tc>
          <w:tcPr>
            <w:tcW w:w="2671" w:type="dxa"/>
          </w:tcPr>
          <w:p w14:paraId="189229A2" w14:textId="77777777" w:rsidR="000B001A" w:rsidRPr="005E0ED3" w:rsidRDefault="000B001A" w:rsidP="00F96E65">
            <w:pPr>
              <w:rPr>
                <w:rFonts w:ascii="Calibri" w:hAnsi="Calibri" w:cs="Calibri"/>
                <w:sz w:val="22"/>
                <w:szCs w:val="22"/>
              </w:rPr>
            </w:pPr>
            <w:r>
              <w:rPr>
                <w:rFonts w:ascii="Calibri" w:hAnsi="Calibri"/>
                <w:sz w:val="22"/>
                <w:szCs w:val="22"/>
              </w:rPr>
              <w:t xml:space="preserve">Exhaustivité </w:t>
            </w:r>
          </w:p>
          <w:p w14:paraId="771891E8" w14:textId="3A53DA62" w:rsidR="000B001A" w:rsidRPr="005E0ED3" w:rsidRDefault="000B001A" w:rsidP="00F96E65">
            <w:pPr>
              <w:rPr>
                <w:rFonts w:ascii="Calibri" w:hAnsi="Calibri" w:cs="Calibri"/>
                <w:sz w:val="22"/>
                <w:szCs w:val="22"/>
              </w:rPr>
            </w:pPr>
            <w:r>
              <w:rPr>
                <w:rFonts w:ascii="Calibri" w:hAnsi="Calibri"/>
                <w:sz w:val="22"/>
                <w:szCs w:val="22"/>
              </w:rPr>
              <w:t xml:space="preserve">(des </w:t>
            </w:r>
            <w:bookmarkStart w:id="0" w:name="_GoBack"/>
            <w:bookmarkEnd w:id="0"/>
            <w:r>
              <w:rPr>
                <w:rFonts w:ascii="Calibri" w:hAnsi="Calibri"/>
                <w:sz w:val="22"/>
                <w:szCs w:val="22"/>
              </w:rPr>
              <w:t>données)</w:t>
            </w:r>
          </w:p>
        </w:tc>
        <w:tc>
          <w:tcPr>
            <w:tcW w:w="8523" w:type="dxa"/>
          </w:tcPr>
          <w:p w14:paraId="04A27AEE" w14:textId="37F53D1B" w:rsidR="000B001A" w:rsidRPr="005E0ED3" w:rsidRDefault="000B001A" w:rsidP="00066EBB">
            <w:pPr>
              <w:pStyle w:val="NormalWeb"/>
              <w:spacing w:before="0" w:beforeAutospacing="0" w:after="173" w:afterAutospacing="0"/>
              <w:rPr>
                <w:rFonts w:ascii="Calibri" w:hAnsi="Calibri" w:cs="Calibri"/>
                <w:color w:val="333333"/>
                <w:sz w:val="22"/>
                <w:szCs w:val="22"/>
              </w:rPr>
            </w:pPr>
            <w:r>
              <w:rPr>
                <w:rFonts w:ascii="Calibri" w:hAnsi="Calibri"/>
                <w:color w:val="333333"/>
                <w:sz w:val="22"/>
                <w:szCs w:val="22"/>
              </w:rPr>
              <w:t>L’exhaustivité des données désigne le caractère exhaustif des données recueillies par rapport à l’ensemble de la population évaluée.</w:t>
            </w:r>
          </w:p>
        </w:tc>
      </w:tr>
      <w:tr w:rsidR="000B001A" w:rsidRPr="005E0ED3" w14:paraId="40DBDE37" w14:textId="77777777" w:rsidTr="000B001A">
        <w:tc>
          <w:tcPr>
            <w:tcW w:w="2671" w:type="dxa"/>
          </w:tcPr>
          <w:p w14:paraId="0353EB22" w14:textId="77777777" w:rsidR="000B001A" w:rsidRPr="005E0ED3" w:rsidRDefault="000B001A" w:rsidP="00636433">
            <w:pPr>
              <w:rPr>
                <w:rFonts w:ascii="Calibri" w:hAnsi="Calibri" w:cs="Calibri"/>
                <w:sz w:val="22"/>
                <w:szCs w:val="22"/>
              </w:rPr>
            </w:pPr>
            <w:r>
              <w:rPr>
                <w:rFonts w:ascii="Calibri" w:hAnsi="Calibri"/>
                <w:sz w:val="22"/>
                <w:szCs w:val="22"/>
              </w:rPr>
              <w:t>Services communautaires</w:t>
            </w:r>
          </w:p>
        </w:tc>
        <w:tc>
          <w:tcPr>
            <w:tcW w:w="8523" w:type="dxa"/>
          </w:tcPr>
          <w:p w14:paraId="45703159" w14:textId="77777777" w:rsidR="000B001A" w:rsidRPr="005E0ED3" w:rsidRDefault="000B001A" w:rsidP="00636433">
            <w:pPr>
              <w:rPr>
                <w:rFonts w:ascii="Calibri" w:hAnsi="Calibri" w:cs="Calibri"/>
                <w:sz w:val="22"/>
                <w:szCs w:val="22"/>
              </w:rPr>
            </w:pPr>
            <w:r>
              <w:rPr>
                <w:rFonts w:ascii="Calibri" w:hAnsi="Calibri"/>
                <w:sz w:val="22"/>
                <w:szCs w:val="22"/>
              </w:rPr>
              <w:t>Dans le cadre de ce défi, les services communautaires désignent l’implication des personnes dans les lieux suivants :</w:t>
            </w:r>
          </w:p>
          <w:p w14:paraId="7C21ED6F" w14:textId="77777777" w:rsidR="000B001A" w:rsidRPr="005E0ED3"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b w:val="0"/>
                <w:sz w:val="22"/>
                <w:szCs w:val="22"/>
              </w:rPr>
              <w:t>Centres d’injection et de consommation supervisés</w:t>
            </w:r>
          </w:p>
          <w:p w14:paraId="3C9EC4D1" w14:textId="77777777" w:rsidR="000B001A" w:rsidRPr="005E0ED3"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b w:val="0"/>
                <w:sz w:val="22"/>
                <w:szCs w:val="22"/>
              </w:rPr>
              <w:t>Centres de prévention des surdoses</w:t>
            </w:r>
          </w:p>
          <w:p w14:paraId="31F16BC1" w14:textId="77777777" w:rsidR="000B001A" w:rsidRPr="005E0ED3"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b w:val="0"/>
                <w:sz w:val="22"/>
                <w:szCs w:val="22"/>
              </w:rPr>
              <w:t>Organismes et agences de réduction des méfaits</w:t>
            </w:r>
          </w:p>
          <w:p w14:paraId="15BF9F30" w14:textId="77777777" w:rsidR="000B001A" w:rsidRPr="005E0ED3"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b w:val="0"/>
                <w:sz w:val="22"/>
                <w:szCs w:val="22"/>
              </w:rPr>
              <w:t xml:space="preserve">Résidences privées </w:t>
            </w:r>
          </w:p>
          <w:p w14:paraId="734AA045" w14:textId="77777777" w:rsidR="000B001A" w:rsidRPr="005E0ED3"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b w:val="0"/>
                <w:sz w:val="22"/>
                <w:szCs w:val="22"/>
              </w:rPr>
              <w:t>Autres (par exemple, Telehealth Ontario, centres anti-poison)</w:t>
            </w:r>
          </w:p>
          <w:p w14:paraId="10F35AE0" w14:textId="77777777" w:rsidR="000B001A" w:rsidRPr="005E0ED3" w:rsidRDefault="000B001A" w:rsidP="00636433">
            <w:pPr>
              <w:rPr>
                <w:rStyle w:val="Strong"/>
                <w:rFonts w:ascii="Calibri" w:hAnsi="Calibri" w:cs="Calibri"/>
                <w:b w:val="0"/>
                <w:sz w:val="22"/>
                <w:szCs w:val="22"/>
              </w:rPr>
            </w:pPr>
          </w:p>
          <w:p w14:paraId="62F1F4C0" w14:textId="77777777" w:rsidR="000B001A" w:rsidRPr="005E0ED3" w:rsidRDefault="000B001A" w:rsidP="00636433">
            <w:pPr>
              <w:rPr>
                <w:rStyle w:val="Strong"/>
                <w:rFonts w:ascii="Calibri" w:hAnsi="Calibri" w:cs="Calibri"/>
                <w:b w:val="0"/>
                <w:sz w:val="22"/>
                <w:szCs w:val="22"/>
              </w:rPr>
            </w:pPr>
            <w:r>
              <w:rPr>
                <w:rStyle w:val="Strong"/>
                <w:rFonts w:ascii="Calibri" w:hAnsi="Calibri"/>
                <w:b w:val="0"/>
                <w:sz w:val="22"/>
                <w:szCs w:val="22"/>
              </w:rPr>
              <w:t xml:space="preserve">La notion de service communautaire englobe également la mobilisation de la famille, des amis et de passants en cas de surdose, notamment dans le cadre des actions suivantes : </w:t>
            </w:r>
          </w:p>
          <w:p w14:paraId="77475E7C" w14:textId="5F2A0085" w:rsidR="000B001A"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b w:val="0"/>
                <w:sz w:val="22"/>
                <w:szCs w:val="22"/>
              </w:rPr>
              <w:t>Administration de naloxone (à domicile ou en public)</w:t>
            </w:r>
          </w:p>
          <w:p w14:paraId="0428BCE8" w14:textId="77777777" w:rsidR="000B001A"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b w:val="0"/>
                <w:sz w:val="22"/>
                <w:szCs w:val="22"/>
              </w:rPr>
              <w:t>Assistance (personne prise par la main, accompagnée, etc.)</w:t>
            </w:r>
          </w:p>
          <w:p w14:paraId="22CB304A" w14:textId="77777777" w:rsidR="000B001A"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b w:val="0"/>
                <w:sz w:val="22"/>
                <w:szCs w:val="22"/>
              </w:rPr>
              <w:t>Premiers soins prodigués</w:t>
            </w:r>
          </w:p>
          <w:p w14:paraId="1E7FEF6D" w14:textId="77777777" w:rsidR="000B001A"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b w:val="0"/>
                <w:sz w:val="22"/>
                <w:szCs w:val="22"/>
              </w:rPr>
              <w:t>Voies respiratoires dégagées</w:t>
            </w:r>
          </w:p>
          <w:p w14:paraId="7A649BBE" w14:textId="77777777" w:rsidR="000B001A"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b w:val="0"/>
                <w:sz w:val="22"/>
                <w:szCs w:val="22"/>
              </w:rPr>
              <w:t>Insufflations de secours</w:t>
            </w:r>
          </w:p>
          <w:p w14:paraId="272CD7F0" w14:textId="77777777" w:rsidR="000B001A" w:rsidRDefault="000B001A" w:rsidP="00636433">
            <w:pPr>
              <w:pStyle w:val="ListParagraph"/>
              <w:numPr>
                <w:ilvl w:val="0"/>
                <w:numId w:val="5"/>
              </w:numPr>
              <w:rPr>
                <w:rStyle w:val="Strong"/>
                <w:rFonts w:ascii="Calibri" w:hAnsi="Calibri" w:cs="Calibri"/>
                <w:b w:val="0"/>
                <w:sz w:val="22"/>
                <w:szCs w:val="22"/>
              </w:rPr>
            </w:pPr>
            <w:r>
              <w:rPr>
                <w:rStyle w:val="Strong"/>
                <w:rFonts w:ascii="Calibri" w:hAnsi="Calibri"/>
                <w:b w:val="0"/>
                <w:sz w:val="22"/>
                <w:szCs w:val="22"/>
              </w:rPr>
              <w:t>Vérification du pouls et de la circulation sanguine</w:t>
            </w:r>
          </w:p>
          <w:p w14:paraId="4026B882" w14:textId="6121B4F1" w:rsidR="000B001A" w:rsidRPr="002B2EF5" w:rsidRDefault="000B001A" w:rsidP="002B2EF5">
            <w:pPr>
              <w:pStyle w:val="ListParagraph"/>
              <w:numPr>
                <w:ilvl w:val="0"/>
                <w:numId w:val="5"/>
              </w:numPr>
              <w:rPr>
                <w:rStyle w:val="Strong"/>
                <w:rFonts w:ascii="Calibri" w:hAnsi="Calibri" w:cs="Calibri"/>
                <w:b w:val="0"/>
                <w:sz w:val="22"/>
                <w:szCs w:val="22"/>
              </w:rPr>
            </w:pPr>
            <w:r>
              <w:rPr>
                <w:rStyle w:val="Strong"/>
                <w:rFonts w:ascii="Calibri" w:hAnsi="Calibri"/>
                <w:b w:val="0"/>
                <w:sz w:val="22"/>
                <w:szCs w:val="22"/>
              </w:rPr>
              <w:t>Compressions thoraciques (RCR)</w:t>
            </w:r>
          </w:p>
          <w:p w14:paraId="0800BB1A" w14:textId="77777777" w:rsidR="000B001A" w:rsidRPr="005E0ED3" w:rsidRDefault="000B001A" w:rsidP="00636433">
            <w:pPr>
              <w:rPr>
                <w:rFonts w:ascii="Calibri" w:hAnsi="Calibri" w:cs="Calibri"/>
                <w:sz w:val="22"/>
                <w:szCs w:val="22"/>
              </w:rPr>
            </w:pPr>
          </w:p>
        </w:tc>
      </w:tr>
      <w:tr w:rsidR="000B001A" w:rsidRPr="005E0ED3" w14:paraId="4AFF81C4" w14:textId="77777777" w:rsidTr="000B001A">
        <w:tc>
          <w:tcPr>
            <w:tcW w:w="2671" w:type="dxa"/>
          </w:tcPr>
          <w:p w14:paraId="59B3812E" w14:textId="28812533" w:rsidR="000B001A" w:rsidRPr="005E0ED3" w:rsidRDefault="000B001A" w:rsidP="00B1009C">
            <w:pPr>
              <w:rPr>
                <w:rFonts w:ascii="Calibri" w:hAnsi="Calibri" w:cs="Calibri"/>
                <w:sz w:val="22"/>
                <w:szCs w:val="22"/>
              </w:rPr>
            </w:pPr>
            <w:r>
              <w:rPr>
                <w:rFonts w:ascii="Calibri" w:hAnsi="Calibri"/>
                <w:sz w:val="22"/>
                <w:szCs w:val="22"/>
              </w:rPr>
              <w:t>Accord de partage des données</w:t>
            </w:r>
          </w:p>
        </w:tc>
        <w:tc>
          <w:tcPr>
            <w:tcW w:w="8523" w:type="dxa"/>
          </w:tcPr>
          <w:p w14:paraId="179C0705" w14:textId="77777777" w:rsidR="000B001A" w:rsidRPr="005E0ED3" w:rsidRDefault="000B001A" w:rsidP="00B1009C">
            <w:pPr>
              <w:rPr>
                <w:rFonts w:ascii="Calibri" w:hAnsi="Calibri" w:cs="Calibri"/>
                <w:sz w:val="22"/>
                <w:szCs w:val="22"/>
              </w:rPr>
            </w:pPr>
            <w:r>
              <w:rPr>
                <w:rFonts w:ascii="Calibri" w:hAnsi="Calibri"/>
                <w:color w:val="000000"/>
                <w:sz w:val="22"/>
                <w:szCs w:val="22"/>
                <w:shd w:val="clear" w:color="auto" w:fill="FFFFFF"/>
              </w:rPr>
              <w:t>Les accords de partage des données déterminent les paramètres régissant la collecte, le transfert, la conservation, la sécurité, l’analyse, la réutilisation, l’archivage et la destruction des données. </w:t>
            </w:r>
          </w:p>
          <w:p w14:paraId="566F9A0D" w14:textId="77777777" w:rsidR="000B001A" w:rsidRPr="005E0ED3" w:rsidRDefault="000B001A" w:rsidP="00B1009C">
            <w:pPr>
              <w:rPr>
                <w:rFonts w:ascii="Calibri" w:hAnsi="Calibri" w:cs="Calibri"/>
                <w:sz w:val="22"/>
                <w:szCs w:val="22"/>
              </w:rPr>
            </w:pPr>
          </w:p>
        </w:tc>
      </w:tr>
      <w:tr w:rsidR="000B001A" w:rsidRPr="005E0ED3" w14:paraId="41E29890" w14:textId="77777777" w:rsidTr="000B001A">
        <w:tc>
          <w:tcPr>
            <w:tcW w:w="2671" w:type="dxa"/>
          </w:tcPr>
          <w:p w14:paraId="24676F82" w14:textId="10F60D00" w:rsidR="000B001A" w:rsidRPr="005E0ED3" w:rsidRDefault="000B001A" w:rsidP="007B241E">
            <w:pPr>
              <w:rPr>
                <w:rFonts w:ascii="Calibri" w:hAnsi="Calibri" w:cs="Calibri"/>
                <w:sz w:val="22"/>
                <w:szCs w:val="22"/>
              </w:rPr>
            </w:pPr>
            <w:r>
              <w:rPr>
                <w:rFonts w:ascii="Calibri" w:hAnsi="Calibri"/>
                <w:sz w:val="22"/>
                <w:szCs w:val="22"/>
              </w:rPr>
              <w:lastRenderedPageBreak/>
              <w:t>Facteur déterminant</w:t>
            </w:r>
          </w:p>
        </w:tc>
        <w:tc>
          <w:tcPr>
            <w:tcW w:w="8523" w:type="dxa"/>
          </w:tcPr>
          <w:p w14:paraId="2F2D9EED" w14:textId="0CC22545" w:rsidR="000B001A" w:rsidRPr="005E0ED3" w:rsidRDefault="000B001A" w:rsidP="007B241E">
            <w:pPr>
              <w:rPr>
                <w:rFonts w:ascii="Calibri" w:hAnsi="Calibri" w:cs="Calibri"/>
                <w:color w:val="000000"/>
                <w:sz w:val="22"/>
                <w:szCs w:val="22"/>
                <w:shd w:val="clear" w:color="auto" w:fill="FFFFFF"/>
              </w:rPr>
            </w:pPr>
            <w:r>
              <w:rPr>
                <w:rFonts w:ascii="Calibri" w:hAnsi="Calibri"/>
                <w:sz w:val="22"/>
                <w:szCs w:val="22"/>
              </w:rPr>
              <w:t>Les facteurs déterminants offrent plus d’informations sur le contexte de chaque surdose d’opiacés soupçonnée.  Dans le cadre de ce défi, sept facteurs déterminants ont été identifiés.</w:t>
            </w:r>
          </w:p>
        </w:tc>
      </w:tr>
      <w:tr w:rsidR="000B001A" w:rsidRPr="005E0ED3" w14:paraId="26D1378D" w14:textId="77777777" w:rsidTr="000B001A">
        <w:tc>
          <w:tcPr>
            <w:tcW w:w="2671" w:type="dxa"/>
          </w:tcPr>
          <w:p w14:paraId="4911EA49" w14:textId="7C903C11" w:rsidR="000B001A" w:rsidRPr="005E0ED3" w:rsidRDefault="000B001A" w:rsidP="00972857">
            <w:pPr>
              <w:rPr>
                <w:rFonts w:ascii="Calibri" w:hAnsi="Calibri" w:cs="Calibri"/>
                <w:sz w:val="22"/>
                <w:szCs w:val="22"/>
              </w:rPr>
            </w:pPr>
            <w:r>
              <w:rPr>
                <w:rFonts w:ascii="Calibri" w:hAnsi="Calibri"/>
                <w:sz w:val="22"/>
                <w:szCs w:val="22"/>
              </w:rPr>
              <w:t>Facteurs déterminants obligatoires</w:t>
            </w:r>
          </w:p>
        </w:tc>
        <w:tc>
          <w:tcPr>
            <w:tcW w:w="8523" w:type="dxa"/>
          </w:tcPr>
          <w:p w14:paraId="4F55D5A6" w14:textId="445D59CD" w:rsidR="000B001A" w:rsidRPr="005E0ED3" w:rsidRDefault="000B001A" w:rsidP="007B241E">
            <w:pPr>
              <w:rPr>
                <w:rFonts w:ascii="Calibri" w:hAnsi="Calibri" w:cs="Calibri"/>
                <w:color w:val="000000"/>
                <w:sz w:val="22"/>
                <w:szCs w:val="22"/>
                <w:shd w:val="clear" w:color="auto" w:fill="FFFFFF"/>
              </w:rPr>
            </w:pPr>
            <w:r>
              <w:rPr>
                <w:rFonts w:ascii="Calibri" w:hAnsi="Calibri"/>
                <w:sz w:val="22"/>
                <w:szCs w:val="22"/>
              </w:rPr>
              <w:t xml:space="preserve">Les facteurs déterminants obligatoires sont un sous-ensemble des facteurs déterminants, et comprennent le lieu et la date. </w:t>
            </w:r>
          </w:p>
        </w:tc>
      </w:tr>
      <w:tr w:rsidR="000B001A" w:rsidRPr="005E0ED3" w14:paraId="4AEF0AFA" w14:textId="77777777" w:rsidTr="000B001A">
        <w:tc>
          <w:tcPr>
            <w:tcW w:w="2671" w:type="dxa"/>
          </w:tcPr>
          <w:p w14:paraId="14C7AF11" w14:textId="4C4AF09A" w:rsidR="000B001A" w:rsidRPr="005E0ED3" w:rsidRDefault="000B001A" w:rsidP="00972857">
            <w:pPr>
              <w:rPr>
                <w:rFonts w:ascii="Calibri" w:hAnsi="Calibri" w:cs="Calibri"/>
                <w:sz w:val="22"/>
                <w:szCs w:val="22"/>
              </w:rPr>
            </w:pPr>
            <w:r>
              <w:rPr>
                <w:rFonts w:ascii="Calibri" w:hAnsi="Calibri"/>
                <w:sz w:val="22"/>
                <w:szCs w:val="22"/>
              </w:rPr>
              <w:t>Facteurs déterminants supplémentaires</w:t>
            </w:r>
          </w:p>
        </w:tc>
        <w:tc>
          <w:tcPr>
            <w:tcW w:w="8523" w:type="dxa"/>
          </w:tcPr>
          <w:p w14:paraId="4B93CD2E" w14:textId="71FD29B2" w:rsidR="000B001A" w:rsidRPr="005E0ED3" w:rsidRDefault="000B001A" w:rsidP="007B241E">
            <w:pPr>
              <w:rPr>
                <w:rFonts w:ascii="Calibri" w:hAnsi="Calibri" w:cs="Calibri"/>
                <w:color w:val="000000"/>
                <w:sz w:val="22"/>
                <w:szCs w:val="22"/>
                <w:shd w:val="clear" w:color="auto" w:fill="FFFFFF"/>
              </w:rPr>
            </w:pPr>
            <w:r>
              <w:rPr>
                <w:rFonts w:ascii="Calibri" w:hAnsi="Calibri"/>
                <w:sz w:val="22"/>
                <w:szCs w:val="22"/>
              </w:rPr>
              <w:t>Les facteurs déterminants supplémentaires sont un sous-ensemble des facteurs déterminants, et comprennent : Les données individuelles, le service fourni, l’historique de la personne, la ou les substances prises et la source de la substance.</w:t>
            </w:r>
          </w:p>
        </w:tc>
      </w:tr>
      <w:tr w:rsidR="000B001A" w:rsidRPr="005E0ED3" w14:paraId="21AD82DA" w14:textId="77777777" w:rsidTr="000B001A">
        <w:tc>
          <w:tcPr>
            <w:tcW w:w="2671" w:type="dxa"/>
          </w:tcPr>
          <w:p w14:paraId="2FCF729A" w14:textId="057B4A65" w:rsidR="000B001A" w:rsidRPr="005E0ED3" w:rsidRDefault="000B001A" w:rsidP="007B241E">
            <w:pPr>
              <w:rPr>
                <w:rFonts w:ascii="Calibri" w:hAnsi="Calibri" w:cs="Calibri"/>
                <w:sz w:val="22"/>
                <w:szCs w:val="22"/>
              </w:rPr>
            </w:pPr>
            <w:r>
              <w:rPr>
                <w:rFonts w:ascii="Calibri" w:hAnsi="Calibri"/>
                <w:sz w:val="22"/>
                <w:szCs w:val="22"/>
              </w:rPr>
              <w:t>Diversité ethnoculturelle</w:t>
            </w:r>
          </w:p>
        </w:tc>
        <w:tc>
          <w:tcPr>
            <w:tcW w:w="8523" w:type="dxa"/>
          </w:tcPr>
          <w:p w14:paraId="446C3DA2" w14:textId="65E1C7E6" w:rsidR="000B001A" w:rsidRPr="005E0ED3" w:rsidRDefault="000B001A" w:rsidP="007B241E">
            <w:pPr>
              <w:rPr>
                <w:rFonts w:ascii="Calibri" w:hAnsi="Calibri" w:cs="Calibri"/>
                <w:sz w:val="22"/>
                <w:szCs w:val="22"/>
              </w:rPr>
            </w:pPr>
            <w:r>
              <w:rPr>
                <w:rFonts w:ascii="Calibri" w:hAnsi="Calibri"/>
                <w:sz w:val="22"/>
                <w:szCs w:val="22"/>
              </w:rPr>
              <w:t>La diversité ethnoculturelle désigne l’origine ethnique et le statut de minorité visible.</w:t>
            </w:r>
          </w:p>
        </w:tc>
      </w:tr>
      <w:tr w:rsidR="000B001A" w:rsidRPr="005E0ED3" w14:paraId="4216E4CA" w14:textId="77777777" w:rsidTr="000B001A">
        <w:tc>
          <w:tcPr>
            <w:tcW w:w="2671" w:type="dxa"/>
          </w:tcPr>
          <w:p w14:paraId="6151614D" w14:textId="674FA72A" w:rsidR="000B001A" w:rsidRPr="005E0ED3" w:rsidRDefault="000B001A" w:rsidP="007B241E">
            <w:pPr>
              <w:rPr>
                <w:rFonts w:ascii="Calibri" w:hAnsi="Calibri" w:cs="Calibri"/>
                <w:sz w:val="22"/>
                <w:szCs w:val="22"/>
              </w:rPr>
            </w:pPr>
            <w:r>
              <w:rPr>
                <w:rFonts w:ascii="Calibri" w:hAnsi="Calibri"/>
                <w:sz w:val="22"/>
                <w:szCs w:val="22"/>
              </w:rPr>
              <w:t>Services d’urgence ou médicaux</w:t>
            </w:r>
          </w:p>
        </w:tc>
        <w:tc>
          <w:tcPr>
            <w:tcW w:w="8523" w:type="dxa"/>
          </w:tcPr>
          <w:p w14:paraId="75CCD8A3" w14:textId="77777777" w:rsidR="000B001A" w:rsidRPr="005E0ED3" w:rsidRDefault="000B001A" w:rsidP="007B241E">
            <w:pPr>
              <w:rPr>
                <w:rFonts w:ascii="Calibri" w:hAnsi="Calibri" w:cs="Calibri"/>
                <w:sz w:val="22"/>
                <w:szCs w:val="22"/>
              </w:rPr>
            </w:pPr>
            <w:r>
              <w:rPr>
                <w:rFonts w:ascii="Calibri" w:hAnsi="Calibri"/>
                <w:sz w:val="22"/>
                <w:szCs w:val="22"/>
              </w:rPr>
              <w:t>Dans le cadre de ce défi, les services d’urgence ou médicaux désignent la mobilisation des services suivants :</w:t>
            </w:r>
          </w:p>
          <w:p w14:paraId="4E9FD203" w14:textId="77777777" w:rsidR="000B001A" w:rsidRPr="005E0ED3" w:rsidRDefault="000B001A" w:rsidP="007B241E">
            <w:pPr>
              <w:pStyle w:val="ListParagraph"/>
              <w:numPr>
                <w:ilvl w:val="0"/>
                <w:numId w:val="4"/>
              </w:numPr>
              <w:rPr>
                <w:rStyle w:val="Strong"/>
                <w:rFonts w:ascii="Calibri" w:hAnsi="Calibri" w:cs="Calibri"/>
                <w:b w:val="0"/>
                <w:sz w:val="22"/>
                <w:szCs w:val="22"/>
              </w:rPr>
            </w:pPr>
            <w:r>
              <w:rPr>
                <w:rStyle w:val="Strong"/>
                <w:rFonts w:ascii="Calibri" w:hAnsi="Calibri"/>
                <w:b w:val="0"/>
                <w:sz w:val="22"/>
                <w:szCs w:val="22"/>
              </w:rPr>
              <w:t>Police, pompiers ou secouristes</w:t>
            </w:r>
          </w:p>
          <w:p w14:paraId="64488D09" w14:textId="77777777" w:rsidR="000B001A" w:rsidRPr="005E0ED3" w:rsidRDefault="000B001A" w:rsidP="007B241E">
            <w:pPr>
              <w:pStyle w:val="ListParagraph"/>
              <w:numPr>
                <w:ilvl w:val="0"/>
                <w:numId w:val="4"/>
              </w:numPr>
              <w:rPr>
                <w:rStyle w:val="Strong"/>
                <w:rFonts w:ascii="Calibri" w:hAnsi="Calibri" w:cs="Calibri"/>
                <w:b w:val="0"/>
                <w:sz w:val="22"/>
                <w:szCs w:val="22"/>
              </w:rPr>
            </w:pPr>
            <w:r>
              <w:rPr>
                <w:rStyle w:val="Strong"/>
                <w:rFonts w:ascii="Calibri" w:hAnsi="Calibri"/>
                <w:b w:val="0"/>
                <w:sz w:val="22"/>
                <w:szCs w:val="22"/>
              </w:rPr>
              <w:t>Services d’urgence ou hospitaliers</w:t>
            </w:r>
          </w:p>
          <w:p w14:paraId="0A0EB0DA" w14:textId="6661C2FF" w:rsidR="000B001A" w:rsidRPr="00271820" w:rsidRDefault="000B001A" w:rsidP="00271820">
            <w:pPr>
              <w:pStyle w:val="ListParagraph"/>
              <w:numPr>
                <w:ilvl w:val="0"/>
                <w:numId w:val="4"/>
              </w:numPr>
              <w:rPr>
                <w:rFonts w:ascii="Calibri" w:hAnsi="Calibri" w:cs="Calibri"/>
                <w:bCs/>
                <w:sz w:val="22"/>
                <w:szCs w:val="22"/>
              </w:rPr>
            </w:pPr>
            <w:r>
              <w:rPr>
                <w:rStyle w:val="Strong"/>
                <w:rFonts w:ascii="Calibri" w:hAnsi="Calibri"/>
                <w:b w:val="0"/>
                <w:sz w:val="22"/>
                <w:szCs w:val="22"/>
              </w:rPr>
              <w:t>Cliniques ou cabinets médicaux (par exemple, premiers soins)</w:t>
            </w:r>
          </w:p>
        </w:tc>
      </w:tr>
      <w:tr w:rsidR="000B001A" w:rsidRPr="005E0ED3" w14:paraId="330C5703" w14:textId="77777777" w:rsidTr="000B001A">
        <w:tc>
          <w:tcPr>
            <w:tcW w:w="2671" w:type="dxa"/>
          </w:tcPr>
          <w:p w14:paraId="0B2176AB" w14:textId="2E782A18" w:rsidR="000B001A" w:rsidRPr="005E0ED3" w:rsidRDefault="000B001A" w:rsidP="007B241E">
            <w:pPr>
              <w:rPr>
                <w:rFonts w:ascii="Calibri" w:hAnsi="Calibri" w:cs="Calibri"/>
                <w:sz w:val="22"/>
                <w:szCs w:val="22"/>
              </w:rPr>
            </w:pPr>
            <w:r>
              <w:rPr>
                <w:rFonts w:ascii="Calibri" w:hAnsi="Calibri"/>
                <w:sz w:val="22"/>
                <w:szCs w:val="22"/>
              </w:rPr>
              <w:t>Décès non catégorisé comme résultant d’une surdose</w:t>
            </w:r>
          </w:p>
        </w:tc>
        <w:tc>
          <w:tcPr>
            <w:tcW w:w="8523" w:type="dxa"/>
          </w:tcPr>
          <w:p w14:paraId="1DD244C8" w14:textId="52F3B575" w:rsidR="000B001A" w:rsidRPr="005E0ED3" w:rsidRDefault="000B001A" w:rsidP="007B241E">
            <w:pPr>
              <w:pStyle w:val="NormalWeb"/>
              <w:spacing w:before="0" w:beforeAutospacing="0" w:after="173" w:afterAutospacing="0"/>
              <w:rPr>
                <w:rFonts w:ascii="Calibri" w:hAnsi="Calibri" w:cs="Calibri"/>
                <w:color w:val="333333"/>
                <w:sz w:val="22"/>
                <w:szCs w:val="22"/>
              </w:rPr>
            </w:pPr>
            <w:r>
              <w:rPr>
                <w:rFonts w:ascii="Calibri" w:hAnsi="Calibri"/>
                <w:sz w:val="22"/>
                <w:szCs w:val="22"/>
              </w:rPr>
              <w:t xml:space="preserve">Le consommateur d’opiacés est décédé, mais son décès n’est pas considéré comme étant causé par une surdose. </w:t>
            </w:r>
          </w:p>
        </w:tc>
      </w:tr>
      <w:tr w:rsidR="000B001A" w:rsidRPr="005E0ED3" w14:paraId="0B60F4EA" w14:textId="77777777" w:rsidTr="000B001A">
        <w:tc>
          <w:tcPr>
            <w:tcW w:w="2671" w:type="dxa"/>
          </w:tcPr>
          <w:p w14:paraId="55639D31" w14:textId="03055CA3" w:rsidR="000B001A" w:rsidRPr="005E0ED3" w:rsidRDefault="000B001A" w:rsidP="007B241E">
            <w:pPr>
              <w:rPr>
                <w:rFonts w:ascii="Calibri" w:hAnsi="Calibri" w:cs="Calibri"/>
                <w:sz w:val="22"/>
                <w:szCs w:val="22"/>
              </w:rPr>
            </w:pPr>
            <w:r>
              <w:rPr>
                <w:rFonts w:ascii="Calibri" w:hAnsi="Calibri"/>
                <w:sz w:val="22"/>
                <w:szCs w:val="22"/>
              </w:rPr>
              <w:t>Fentanyl</w:t>
            </w:r>
          </w:p>
        </w:tc>
        <w:tc>
          <w:tcPr>
            <w:tcW w:w="8523" w:type="dxa"/>
          </w:tcPr>
          <w:p w14:paraId="6992461A" w14:textId="79F440E9" w:rsidR="000B001A" w:rsidRPr="00271820" w:rsidRDefault="000B001A" w:rsidP="00271820">
            <w:pPr>
              <w:rPr>
                <w:rFonts w:ascii="Calibri" w:hAnsi="Calibri" w:cs="Calibri"/>
                <w:color w:val="333333"/>
                <w:sz w:val="22"/>
                <w:szCs w:val="22"/>
                <w:shd w:val="clear" w:color="auto" w:fill="FFFFFF"/>
              </w:rPr>
            </w:pPr>
            <w:r>
              <w:rPr>
                <w:rFonts w:ascii="Calibri" w:hAnsi="Calibri"/>
                <w:sz w:val="22"/>
                <w:szCs w:val="22"/>
              </w:rPr>
              <w:t xml:space="preserve">Le </w:t>
            </w:r>
            <w:r>
              <w:rPr>
                <w:rFonts w:ascii="Calibri" w:hAnsi="Calibri"/>
                <w:color w:val="333333"/>
                <w:sz w:val="22"/>
                <w:szCs w:val="22"/>
                <w:shd w:val="clear" w:color="auto" w:fill="FFFFFF"/>
              </w:rPr>
              <w:t>fentanyl est un antalgique puissant disponible sur ordonnance, environ</w:t>
            </w:r>
            <w:r>
              <w:rPr>
                <w:rStyle w:val="apple-converted-space"/>
                <w:rFonts w:ascii="Calibri" w:hAnsi="Calibri"/>
                <w:color w:val="333333"/>
                <w:sz w:val="22"/>
                <w:szCs w:val="22"/>
                <w:shd w:val="clear" w:color="auto" w:fill="FFFFFF"/>
              </w:rPr>
              <w:t> </w:t>
            </w:r>
            <w:r>
              <w:rPr>
                <w:rStyle w:val="Strong"/>
                <w:rFonts w:ascii="Calibri" w:hAnsi="Calibri"/>
                <w:b w:val="0"/>
                <w:color w:val="333333"/>
                <w:sz w:val="22"/>
                <w:szCs w:val="22"/>
              </w:rPr>
              <w:t xml:space="preserve">100 </w:t>
            </w:r>
            <w:r>
              <w:rPr>
                <w:rStyle w:val="Strong"/>
                <w:rFonts w:ascii="Calibri" w:hAnsi="Calibri"/>
                <w:b w:val="0"/>
                <w:sz w:val="22"/>
                <w:szCs w:val="22"/>
              </w:rPr>
              <w:t>fois</w:t>
            </w:r>
            <w:r>
              <w:rPr>
                <w:rStyle w:val="apple-converted-space"/>
                <w:rFonts w:ascii="Calibri" w:hAnsi="Calibri"/>
                <w:color w:val="333333"/>
                <w:sz w:val="22"/>
                <w:szCs w:val="22"/>
                <w:shd w:val="clear" w:color="auto" w:fill="FFFFFF"/>
              </w:rPr>
              <w:t> </w:t>
            </w:r>
            <w:r>
              <w:rPr>
                <w:rFonts w:ascii="Calibri" w:hAnsi="Calibri"/>
                <w:color w:val="333333"/>
                <w:sz w:val="22"/>
                <w:szCs w:val="22"/>
                <w:shd w:val="clear" w:color="auto" w:fill="FFFFFF"/>
              </w:rPr>
              <w:t xml:space="preserve">plus toxique que la morphine. </w:t>
            </w:r>
          </w:p>
        </w:tc>
      </w:tr>
      <w:tr w:rsidR="000B001A" w:rsidRPr="005E0ED3" w14:paraId="79E9997C" w14:textId="77777777" w:rsidTr="000B001A">
        <w:tc>
          <w:tcPr>
            <w:tcW w:w="2671" w:type="dxa"/>
          </w:tcPr>
          <w:p w14:paraId="7D34F249" w14:textId="2D17D3EF" w:rsidR="000B001A" w:rsidRPr="005E0ED3" w:rsidRDefault="000B001A" w:rsidP="007B241E">
            <w:pPr>
              <w:rPr>
                <w:rFonts w:ascii="Calibri" w:hAnsi="Calibri" w:cs="Calibri"/>
                <w:sz w:val="22"/>
                <w:szCs w:val="22"/>
              </w:rPr>
            </w:pPr>
            <w:r>
              <w:rPr>
                <w:rFonts w:ascii="Calibri" w:hAnsi="Calibri"/>
                <w:sz w:val="22"/>
                <w:szCs w:val="22"/>
              </w:rPr>
              <w:t>Premier intervenant</w:t>
            </w:r>
          </w:p>
        </w:tc>
        <w:tc>
          <w:tcPr>
            <w:tcW w:w="8523" w:type="dxa"/>
          </w:tcPr>
          <w:p w14:paraId="733FD0C1" w14:textId="522BE8C1" w:rsidR="000B001A" w:rsidRPr="005E0ED3" w:rsidRDefault="000B001A" w:rsidP="007B241E">
            <w:pPr>
              <w:rPr>
                <w:rFonts w:ascii="Calibri" w:hAnsi="Calibri" w:cs="Calibri"/>
                <w:color w:val="333333"/>
                <w:sz w:val="22"/>
                <w:szCs w:val="22"/>
                <w:shd w:val="clear" w:color="auto" w:fill="FFFFFF"/>
              </w:rPr>
            </w:pPr>
            <w:r>
              <w:rPr>
                <w:rFonts w:ascii="Calibri" w:hAnsi="Calibri"/>
                <w:color w:val="333333"/>
                <w:sz w:val="22"/>
                <w:szCs w:val="22"/>
                <w:shd w:val="clear" w:color="auto" w:fill="FFFFFF"/>
              </w:rPr>
              <w:t xml:space="preserve">Les premiers intervenants sont chargés de se rendre sur les lieux d’un accident ou d’une urgence pour fournir une assistance. Il s’agit notamment des services de police, des pompiers ou des services médicaux d’urgence. </w:t>
            </w:r>
          </w:p>
        </w:tc>
      </w:tr>
      <w:tr w:rsidR="000B001A" w:rsidRPr="005E0ED3" w14:paraId="401D2389" w14:textId="77777777" w:rsidTr="000B001A">
        <w:tc>
          <w:tcPr>
            <w:tcW w:w="2671" w:type="dxa"/>
          </w:tcPr>
          <w:p w14:paraId="4EF025E4" w14:textId="38E92187" w:rsidR="000B001A" w:rsidRPr="005E0ED3" w:rsidRDefault="000B001A" w:rsidP="007B241E">
            <w:pPr>
              <w:rPr>
                <w:rFonts w:ascii="Calibri" w:hAnsi="Calibri" w:cs="Calibri"/>
                <w:sz w:val="22"/>
                <w:szCs w:val="22"/>
              </w:rPr>
            </w:pPr>
            <w:r>
              <w:rPr>
                <w:rFonts w:ascii="Calibri" w:hAnsi="Calibri"/>
                <w:sz w:val="22"/>
                <w:szCs w:val="22"/>
              </w:rPr>
              <w:t>Région géographique</w:t>
            </w:r>
          </w:p>
        </w:tc>
        <w:tc>
          <w:tcPr>
            <w:tcW w:w="8523" w:type="dxa"/>
          </w:tcPr>
          <w:p w14:paraId="6DEA6A6D" w14:textId="47201C5F" w:rsidR="000B001A" w:rsidRPr="005E0ED3" w:rsidRDefault="000B001A" w:rsidP="007B241E">
            <w:pPr>
              <w:rPr>
                <w:rFonts w:ascii="Calibri" w:hAnsi="Calibri" w:cs="Calibri"/>
                <w:color w:val="2A2A2A"/>
                <w:sz w:val="22"/>
                <w:szCs w:val="22"/>
                <w:shd w:val="clear" w:color="auto" w:fill="FFFFFF"/>
              </w:rPr>
            </w:pPr>
            <w:r>
              <w:rPr>
                <w:rFonts w:ascii="Calibri" w:hAnsi="Calibri"/>
                <w:color w:val="2A2A2A"/>
                <w:sz w:val="22"/>
                <w:szCs w:val="22"/>
                <w:shd w:val="clear" w:color="auto" w:fill="FFFFFF"/>
              </w:rPr>
              <w:t>La région géographique désigne l’emplacement physique d’une communauté, d’une ville ou d’une municipalité dans une zone définie et mesurable.</w:t>
            </w:r>
          </w:p>
        </w:tc>
      </w:tr>
      <w:tr w:rsidR="000B001A" w:rsidRPr="005E0ED3" w14:paraId="1DA5C681" w14:textId="77777777" w:rsidTr="000B001A">
        <w:tc>
          <w:tcPr>
            <w:tcW w:w="2671" w:type="dxa"/>
          </w:tcPr>
          <w:p w14:paraId="2363D2B9" w14:textId="42AE2E46" w:rsidR="000B001A" w:rsidRPr="005E0ED3" w:rsidRDefault="000B001A" w:rsidP="007B241E">
            <w:pPr>
              <w:rPr>
                <w:rFonts w:ascii="Calibri" w:hAnsi="Calibri" w:cs="Calibri"/>
                <w:sz w:val="22"/>
                <w:szCs w:val="22"/>
              </w:rPr>
            </w:pPr>
            <w:r>
              <w:rPr>
                <w:rFonts w:ascii="Calibri" w:hAnsi="Calibri"/>
                <w:sz w:val="22"/>
                <w:szCs w:val="22"/>
              </w:rPr>
              <w:t>Géolocalisation</w:t>
            </w:r>
          </w:p>
        </w:tc>
        <w:tc>
          <w:tcPr>
            <w:tcW w:w="8523" w:type="dxa"/>
          </w:tcPr>
          <w:p w14:paraId="4797C4EB" w14:textId="13D78F8A" w:rsidR="000B001A" w:rsidRPr="005E0ED3" w:rsidRDefault="000B001A" w:rsidP="007B241E">
            <w:pPr>
              <w:rPr>
                <w:rFonts w:ascii="Calibri" w:hAnsi="Calibri" w:cs="Calibri"/>
                <w:color w:val="333333"/>
                <w:sz w:val="22"/>
                <w:szCs w:val="22"/>
                <w:shd w:val="clear" w:color="auto" w:fill="FFFFFF"/>
              </w:rPr>
            </w:pPr>
            <w:r>
              <w:rPr>
                <w:rFonts w:ascii="Calibri" w:hAnsi="Calibri"/>
                <w:color w:val="2A2A2A"/>
                <w:sz w:val="22"/>
                <w:szCs w:val="22"/>
                <w:shd w:val="clear" w:color="auto" w:fill="FFFFFF"/>
              </w:rPr>
              <w:t>La géolocalisation désigne un processus ou une technique permettant de déterminer l’emplacement géographique d’une personne ou d’un appareil par le traitement d’informations numériques.</w:t>
            </w:r>
          </w:p>
        </w:tc>
      </w:tr>
      <w:tr w:rsidR="000B001A" w:rsidRPr="005E0ED3" w14:paraId="555F14EE" w14:textId="77777777" w:rsidTr="000B001A">
        <w:tc>
          <w:tcPr>
            <w:tcW w:w="2671" w:type="dxa"/>
          </w:tcPr>
          <w:p w14:paraId="5963A4CA" w14:textId="496712B3" w:rsidR="000B001A" w:rsidRPr="005E0ED3" w:rsidRDefault="000B001A" w:rsidP="007B241E">
            <w:pPr>
              <w:rPr>
                <w:rFonts w:ascii="Calibri" w:hAnsi="Calibri" w:cs="Calibri"/>
                <w:sz w:val="22"/>
                <w:szCs w:val="22"/>
              </w:rPr>
            </w:pPr>
            <w:r>
              <w:rPr>
                <w:rFonts w:ascii="Calibri" w:hAnsi="Calibri"/>
                <w:sz w:val="22"/>
                <w:szCs w:val="22"/>
              </w:rPr>
              <w:t>Réduction des méfaits</w:t>
            </w:r>
          </w:p>
        </w:tc>
        <w:tc>
          <w:tcPr>
            <w:tcW w:w="8523" w:type="dxa"/>
          </w:tcPr>
          <w:p w14:paraId="5EB5C008" w14:textId="124544CE" w:rsidR="000B001A" w:rsidRPr="005E0ED3" w:rsidRDefault="000B001A" w:rsidP="007B241E">
            <w:pPr>
              <w:rPr>
                <w:rFonts w:ascii="Calibri" w:hAnsi="Calibri" w:cs="Calibri"/>
                <w:sz w:val="22"/>
                <w:szCs w:val="22"/>
              </w:rPr>
            </w:pPr>
            <w:r>
              <w:rPr>
                <w:rFonts w:ascii="Calibri" w:hAnsi="Calibri"/>
                <w:color w:val="000000"/>
                <w:sz w:val="22"/>
                <w:szCs w:val="22"/>
                <w:shd w:val="clear" w:color="auto" w:fill="FFFFFF"/>
              </w:rPr>
              <w:t>La réduction des méfaits est une approche fondée sur les faits et axée sur les clients, visant à réduire les impacts néfastes, tant sur la santé que d’un point de vue social, induits par la dépendance et la prise de stupéfiants, sans pour autant exiger une abstention ou un sevrage de la part des toxicomanes.</w:t>
            </w:r>
            <w:r>
              <w:rPr>
                <w:rStyle w:val="apple-converted-space"/>
                <w:rFonts w:ascii="Calibri" w:hAnsi="Calibri"/>
                <w:color w:val="000000"/>
                <w:sz w:val="22"/>
                <w:szCs w:val="22"/>
                <w:shd w:val="clear" w:color="auto" w:fill="FFFFFF"/>
              </w:rPr>
              <w:t> </w:t>
            </w:r>
            <w:r>
              <w:rPr>
                <w:rFonts w:ascii="Calibri" w:hAnsi="Calibri"/>
                <w:color w:val="000000"/>
                <w:sz w:val="22"/>
                <w:szCs w:val="22"/>
                <w:shd w:val="clear" w:color="auto" w:fill="FFFFFF"/>
              </w:rPr>
              <w:t xml:space="preserve"> </w:t>
            </w:r>
          </w:p>
        </w:tc>
      </w:tr>
      <w:tr w:rsidR="000B001A" w:rsidRPr="005E0ED3" w14:paraId="32C3E404" w14:textId="77777777" w:rsidTr="000B001A">
        <w:tc>
          <w:tcPr>
            <w:tcW w:w="2671" w:type="dxa"/>
          </w:tcPr>
          <w:p w14:paraId="14324212" w14:textId="2AD05D3D" w:rsidR="000B001A" w:rsidRPr="005E0ED3" w:rsidRDefault="000B001A" w:rsidP="007B241E">
            <w:pPr>
              <w:rPr>
                <w:rFonts w:ascii="Calibri" w:hAnsi="Calibri" w:cs="Calibri"/>
                <w:sz w:val="22"/>
                <w:szCs w:val="22"/>
              </w:rPr>
            </w:pPr>
            <w:r>
              <w:rPr>
                <w:rFonts w:ascii="Calibri" w:hAnsi="Calibri"/>
                <w:sz w:val="22"/>
                <w:szCs w:val="22"/>
              </w:rPr>
              <w:t>Utilisation d’opiacés illégaux</w:t>
            </w:r>
          </w:p>
        </w:tc>
        <w:tc>
          <w:tcPr>
            <w:tcW w:w="8523" w:type="dxa"/>
          </w:tcPr>
          <w:p w14:paraId="671D6003" w14:textId="4C526030" w:rsidR="000B001A" w:rsidRPr="005E0ED3" w:rsidRDefault="000B001A" w:rsidP="00066EBB">
            <w:pPr>
              <w:rPr>
                <w:rFonts w:ascii="Calibri" w:hAnsi="Calibri" w:cs="Calibri"/>
                <w:color w:val="333333"/>
                <w:sz w:val="22"/>
                <w:szCs w:val="22"/>
                <w:shd w:val="clear" w:color="auto" w:fill="FFFFFF"/>
              </w:rPr>
            </w:pPr>
            <w:r>
              <w:rPr>
                <w:rFonts w:ascii="Calibri" w:hAnsi="Calibri"/>
                <w:sz w:val="22"/>
                <w:szCs w:val="22"/>
              </w:rPr>
              <w:t xml:space="preserve">L’utilisation d’opiacés illégaux consiste à consommer des opiacés obtenus de manière illégale, notamment les drogues illicites ainsi que les opiacés sur ordonnance détournés </w:t>
            </w:r>
            <w:r>
              <w:rPr>
                <w:rFonts w:ascii="Calibri" w:hAnsi="Calibri"/>
                <w:sz w:val="22"/>
                <w:szCs w:val="22"/>
              </w:rPr>
              <w:lastRenderedPageBreak/>
              <w:t xml:space="preserve">(c’est-à-dire non obtenus avec une prescription d’un médecin formé pour l’utilisation de la personne concernée) </w:t>
            </w:r>
          </w:p>
        </w:tc>
      </w:tr>
      <w:tr w:rsidR="000B001A" w:rsidRPr="005E0ED3" w14:paraId="100625EE" w14:textId="77777777" w:rsidTr="000B001A">
        <w:tc>
          <w:tcPr>
            <w:tcW w:w="2671" w:type="dxa"/>
          </w:tcPr>
          <w:p w14:paraId="70D65785" w14:textId="45FDC2CC" w:rsidR="000B001A" w:rsidRPr="005E0ED3" w:rsidRDefault="000B001A" w:rsidP="007B241E">
            <w:pPr>
              <w:rPr>
                <w:rFonts w:ascii="Calibri" w:hAnsi="Calibri" w:cs="Calibri"/>
                <w:sz w:val="22"/>
                <w:szCs w:val="22"/>
              </w:rPr>
            </w:pPr>
            <w:r>
              <w:rPr>
                <w:rFonts w:ascii="Calibri" w:hAnsi="Calibri"/>
                <w:sz w:val="22"/>
                <w:szCs w:val="22"/>
              </w:rPr>
              <w:lastRenderedPageBreak/>
              <w:t>Naloxone</w:t>
            </w:r>
          </w:p>
        </w:tc>
        <w:tc>
          <w:tcPr>
            <w:tcW w:w="8523" w:type="dxa"/>
          </w:tcPr>
          <w:p w14:paraId="69E8706A" w14:textId="3326DF5B" w:rsidR="000B001A" w:rsidRPr="005E0ED3" w:rsidRDefault="000B001A" w:rsidP="007B241E">
            <w:pPr>
              <w:pStyle w:val="NormalWeb"/>
              <w:spacing w:before="0" w:beforeAutospacing="0" w:after="173" w:afterAutospacing="0"/>
              <w:rPr>
                <w:rFonts w:ascii="Calibri" w:hAnsi="Calibri" w:cs="Calibri"/>
                <w:color w:val="333333"/>
                <w:sz w:val="22"/>
                <w:szCs w:val="22"/>
              </w:rPr>
            </w:pPr>
            <w:r>
              <w:rPr>
                <w:rFonts w:ascii="Calibri" w:hAnsi="Calibri"/>
                <w:color w:val="333333"/>
                <w:sz w:val="22"/>
                <w:szCs w:val="22"/>
                <w:shd w:val="clear" w:color="auto" w:fill="FFFFFF"/>
              </w:rPr>
              <w:t>Le naloxone (vendu sous la marque Narcan®) est un médicament pouvant</w:t>
            </w:r>
            <w:r>
              <w:rPr>
                <w:rStyle w:val="apple-converted-space"/>
                <w:rFonts w:ascii="Calibri" w:hAnsi="Calibri"/>
                <w:color w:val="333333"/>
                <w:sz w:val="22"/>
                <w:szCs w:val="22"/>
                <w:shd w:val="clear" w:color="auto" w:fill="FFFFFF"/>
              </w:rPr>
              <w:t> </w:t>
            </w:r>
            <w:r>
              <w:rPr>
                <w:rStyle w:val="Strong"/>
                <w:rFonts w:ascii="Calibri" w:hAnsi="Calibri"/>
                <w:b w:val="0"/>
                <w:color w:val="333333"/>
                <w:sz w:val="22"/>
                <w:szCs w:val="22"/>
              </w:rPr>
              <w:t>temporairement</w:t>
            </w:r>
            <w:r>
              <w:rPr>
                <w:rStyle w:val="apple-converted-space"/>
                <w:rFonts w:ascii="Calibri" w:hAnsi="Calibri"/>
                <w:b/>
                <w:color w:val="333333"/>
                <w:sz w:val="22"/>
                <w:szCs w:val="22"/>
                <w:shd w:val="clear" w:color="auto" w:fill="FFFFFF"/>
              </w:rPr>
              <w:t> </w:t>
            </w:r>
            <w:r>
              <w:rPr>
                <w:rFonts w:ascii="Calibri" w:hAnsi="Calibri"/>
                <w:color w:val="333333"/>
                <w:sz w:val="22"/>
                <w:szCs w:val="22"/>
                <w:shd w:val="clear" w:color="auto" w:fill="FFFFFF"/>
              </w:rPr>
              <w:t>inverser les effets d’une surdose d’opiacés. Les effets du naloxone s’estompent en 30 à 90 minutes : il est donc important de</w:t>
            </w:r>
            <w:r>
              <w:rPr>
                <w:rStyle w:val="apple-converted-space"/>
                <w:rFonts w:ascii="Calibri" w:hAnsi="Calibri"/>
                <w:color w:val="333333"/>
                <w:sz w:val="22"/>
                <w:szCs w:val="22"/>
                <w:shd w:val="clear" w:color="auto" w:fill="FFFFFF"/>
              </w:rPr>
              <w:t> </w:t>
            </w:r>
            <w:r>
              <w:rPr>
                <w:rStyle w:val="Strong"/>
                <w:rFonts w:ascii="Calibri" w:hAnsi="Calibri"/>
                <w:b w:val="0"/>
                <w:color w:val="333333"/>
                <w:sz w:val="22"/>
                <w:szCs w:val="22"/>
              </w:rPr>
              <w:t>consulter à nouveau un médecin après l’administration</w:t>
            </w:r>
            <w:r>
              <w:rPr>
                <w:rFonts w:ascii="Calibri" w:hAnsi="Calibri"/>
                <w:b/>
                <w:color w:val="333333"/>
                <w:sz w:val="22"/>
                <w:szCs w:val="22"/>
                <w:shd w:val="clear" w:color="auto" w:fill="FFFFFF"/>
              </w:rPr>
              <w:t>.</w:t>
            </w:r>
          </w:p>
        </w:tc>
      </w:tr>
      <w:tr w:rsidR="000B001A" w:rsidRPr="005E0ED3" w14:paraId="1AF04C2C" w14:textId="77777777" w:rsidTr="000B001A">
        <w:tc>
          <w:tcPr>
            <w:tcW w:w="2671" w:type="dxa"/>
          </w:tcPr>
          <w:p w14:paraId="6914F2B4" w14:textId="0E89704B" w:rsidR="000B001A" w:rsidRPr="005E0ED3" w:rsidRDefault="000B001A" w:rsidP="007B241E">
            <w:pPr>
              <w:rPr>
                <w:rFonts w:ascii="Calibri" w:hAnsi="Calibri" w:cs="Calibri"/>
                <w:sz w:val="22"/>
                <w:szCs w:val="22"/>
              </w:rPr>
            </w:pPr>
            <w:r>
              <w:rPr>
                <w:rFonts w:ascii="Calibri" w:hAnsi="Calibri"/>
                <w:sz w:val="22"/>
                <w:szCs w:val="22"/>
              </w:rPr>
              <w:t>Formats non standardisés</w:t>
            </w:r>
          </w:p>
        </w:tc>
        <w:tc>
          <w:tcPr>
            <w:tcW w:w="8523" w:type="dxa"/>
          </w:tcPr>
          <w:p w14:paraId="63AFE191" w14:textId="5F7CEB2E" w:rsidR="000B001A" w:rsidRPr="005E0ED3" w:rsidRDefault="000B001A" w:rsidP="007B241E">
            <w:pPr>
              <w:pStyle w:val="NormalWeb"/>
              <w:spacing w:before="0" w:beforeAutospacing="0" w:after="173" w:afterAutospacing="0"/>
              <w:rPr>
                <w:rFonts w:ascii="Calibri" w:hAnsi="Calibri" w:cs="Calibri"/>
                <w:color w:val="333333"/>
                <w:sz w:val="22"/>
                <w:szCs w:val="22"/>
              </w:rPr>
            </w:pPr>
            <w:r>
              <w:rPr>
                <w:rFonts w:ascii="Calibri" w:hAnsi="Calibri"/>
                <w:color w:val="333333"/>
                <w:sz w:val="22"/>
                <w:szCs w:val="22"/>
              </w:rPr>
              <w:t>Les formats non standardisés désignent les données présentées n’obéissant pas à un ensemble de configurations prédéfinies (requises). Les données non standardisées, contrairement aux autres signalements ou soumissions, ne sont pas nécessairement associées à des catégories ou à des paramètres communs.</w:t>
            </w:r>
          </w:p>
        </w:tc>
      </w:tr>
      <w:tr w:rsidR="000B001A" w:rsidRPr="005E0ED3" w14:paraId="1C13E70A" w14:textId="77777777" w:rsidTr="000B001A">
        <w:tc>
          <w:tcPr>
            <w:tcW w:w="2671" w:type="dxa"/>
          </w:tcPr>
          <w:p w14:paraId="102363AF" w14:textId="77777777" w:rsidR="000B001A" w:rsidRPr="005E0ED3" w:rsidRDefault="000B001A" w:rsidP="007B241E">
            <w:pPr>
              <w:rPr>
                <w:rFonts w:ascii="Calibri" w:hAnsi="Calibri" w:cs="Calibri"/>
                <w:sz w:val="22"/>
                <w:szCs w:val="22"/>
              </w:rPr>
            </w:pPr>
            <w:r>
              <w:rPr>
                <w:rFonts w:ascii="Calibri" w:hAnsi="Calibri"/>
                <w:sz w:val="22"/>
                <w:szCs w:val="22"/>
              </w:rPr>
              <w:t>Opiacé</w:t>
            </w:r>
          </w:p>
        </w:tc>
        <w:tc>
          <w:tcPr>
            <w:tcW w:w="8523" w:type="dxa"/>
          </w:tcPr>
          <w:p w14:paraId="38B3FCA1" w14:textId="77777777" w:rsidR="000B001A" w:rsidRPr="005E0ED3" w:rsidRDefault="000B001A" w:rsidP="007B241E">
            <w:pPr>
              <w:pStyle w:val="NormalWeb"/>
              <w:spacing w:before="0" w:beforeAutospacing="0" w:after="173" w:afterAutospacing="0"/>
              <w:rPr>
                <w:rFonts w:ascii="Calibri" w:hAnsi="Calibri" w:cs="Calibri"/>
                <w:color w:val="333333"/>
                <w:sz w:val="22"/>
                <w:szCs w:val="22"/>
              </w:rPr>
            </w:pPr>
            <w:r>
              <w:rPr>
                <w:rFonts w:ascii="Calibri" w:hAnsi="Calibri"/>
                <w:color w:val="333333"/>
                <w:sz w:val="22"/>
                <w:szCs w:val="22"/>
              </w:rPr>
              <w:t>Les opiacés sont des drogues aux propriétés analgésiques, principalement utilisées pour traiter la douleur.</w:t>
            </w:r>
          </w:p>
          <w:p w14:paraId="6BEF6DF9" w14:textId="77777777" w:rsidR="000B001A" w:rsidRPr="005E0ED3" w:rsidRDefault="000B001A" w:rsidP="007B241E">
            <w:pPr>
              <w:pStyle w:val="NormalWeb"/>
              <w:spacing w:before="0" w:beforeAutospacing="0" w:after="173" w:afterAutospacing="0"/>
              <w:rPr>
                <w:rFonts w:ascii="Calibri" w:hAnsi="Calibri" w:cs="Calibri"/>
                <w:color w:val="333333"/>
                <w:sz w:val="22"/>
                <w:szCs w:val="22"/>
              </w:rPr>
            </w:pPr>
            <w:r>
              <w:rPr>
                <w:rFonts w:ascii="Calibri" w:hAnsi="Calibri"/>
                <w:color w:val="333333"/>
                <w:sz w:val="22"/>
                <w:szCs w:val="22"/>
              </w:rPr>
              <w:t>Les opiacés peuvent également provoquer une euphorie (sensation de planer), ce qui entraîne un risque de mauvaise utilisation.</w:t>
            </w:r>
          </w:p>
          <w:p w14:paraId="5B5AE038" w14:textId="77777777" w:rsidR="000B001A" w:rsidRPr="005E0ED3" w:rsidRDefault="000B001A" w:rsidP="007B241E">
            <w:pPr>
              <w:pStyle w:val="NormalWeb"/>
              <w:spacing w:before="0" w:beforeAutospacing="0" w:after="173" w:afterAutospacing="0"/>
              <w:rPr>
                <w:rFonts w:ascii="Calibri" w:hAnsi="Calibri" w:cs="Calibri"/>
                <w:color w:val="333333"/>
                <w:sz w:val="22"/>
                <w:szCs w:val="22"/>
              </w:rPr>
            </w:pPr>
            <w:r>
              <w:rPr>
                <w:rFonts w:ascii="Calibri" w:hAnsi="Calibri"/>
                <w:color w:val="333333"/>
                <w:sz w:val="22"/>
                <w:szCs w:val="22"/>
              </w:rPr>
              <w:t>Les opiacés peuvent être prescrits sous forme de médicaments, notamment :</w:t>
            </w:r>
          </w:p>
          <w:p w14:paraId="48589A70" w14:textId="77777777" w:rsidR="000B001A" w:rsidRPr="005E0ED3" w:rsidRDefault="000B001A" w:rsidP="007B241E">
            <w:pPr>
              <w:numPr>
                <w:ilvl w:val="0"/>
                <w:numId w:val="1"/>
              </w:numPr>
              <w:spacing w:before="100" w:beforeAutospacing="1" w:after="100" w:afterAutospacing="1"/>
              <w:rPr>
                <w:rFonts w:ascii="Calibri" w:hAnsi="Calibri" w:cs="Calibri"/>
                <w:color w:val="333333"/>
                <w:sz w:val="22"/>
                <w:szCs w:val="22"/>
              </w:rPr>
            </w:pPr>
            <w:r>
              <w:rPr>
                <w:rFonts w:ascii="Calibri" w:hAnsi="Calibri"/>
                <w:color w:val="333333"/>
                <w:sz w:val="22"/>
                <w:szCs w:val="22"/>
              </w:rPr>
              <w:t>codéine</w:t>
            </w:r>
          </w:p>
          <w:p w14:paraId="0A298937" w14:textId="77777777" w:rsidR="000B001A" w:rsidRPr="005E0ED3" w:rsidRDefault="000B001A" w:rsidP="007B241E">
            <w:pPr>
              <w:numPr>
                <w:ilvl w:val="0"/>
                <w:numId w:val="1"/>
              </w:numPr>
              <w:spacing w:before="100" w:beforeAutospacing="1" w:after="100" w:afterAutospacing="1"/>
              <w:rPr>
                <w:rFonts w:ascii="Calibri" w:hAnsi="Calibri" w:cs="Calibri"/>
                <w:color w:val="333333"/>
                <w:sz w:val="22"/>
                <w:szCs w:val="22"/>
              </w:rPr>
            </w:pPr>
            <w:r>
              <w:rPr>
                <w:rFonts w:ascii="Calibri" w:hAnsi="Calibri"/>
                <w:color w:val="333333"/>
                <w:sz w:val="22"/>
                <w:szCs w:val="22"/>
              </w:rPr>
              <w:t>fentanyl</w:t>
            </w:r>
          </w:p>
          <w:p w14:paraId="7681C43D" w14:textId="77777777" w:rsidR="000B001A" w:rsidRPr="005E0ED3" w:rsidRDefault="000B001A" w:rsidP="007B241E">
            <w:pPr>
              <w:numPr>
                <w:ilvl w:val="0"/>
                <w:numId w:val="1"/>
              </w:numPr>
              <w:spacing w:before="100" w:beforeAutospacing="1" w:after="100" w:afterAutospacing="1"/>
              <w:rPr>
                <w:rFonts w:ascii="Calibri" w:hAnsi="Calibri" w:cs="Calibri"/>
                <w:color w:val="333333"/>
                <w:sz w:val="22"/>
                <w:szCs w:val="22"/>
              </w:rPr>
            </w:pPr>
            <w:r>
              <w:rPr>
                <w:rFonts w:ascii="Calibri" w:hAnsi="Calibri"/>
                <w:color w:val="333333"/>
                <w:sz w:val="22"/>
                <w:szCs w:val="22"/>
              </w:rPr>
              <w:t>morphine</w:t>
            </w:r>
          </w:p>
          <w:p w14:paraId="6B526061" w14:textId="77777777" w:rsidR="000B001A" w:rsidRPr="005E0ED3" w:rsidRDefault="000B001A" w:rsidP="007B241E">
            <w:pPr>
              <w:numPr>
                <w:ilvl w:val="0"/>
                <w:numId w:val="1"/>
              </w:numPr>
              <w:spacing w:before="100" w:beforeAutospacing="1" w:after="100" w:afterAutospacing="1"/>
              <w:rPr>
                <w:rFonts w:ascii="Calibri" w:hAnsi="Calibri" w:cs="Calibri"/>
                <w:color w:val="333333"/>
                <w:sz w:val="22"/>
                <w:szCs w:val="22"/>
              </w:rPr>
            </w:pPr>
            <w:r>
              <w:rPr>
                <w:rFonts w:ascii="Calibri" w:hAnsi="Calibri"/>
                <w:color w:val="333333"/>
                <w:sz w:val="22"/>
                <w:szCs w:val="22"/>
              </w:rPr>
              <w:t>oxycodone</w:t>
            </w:r>
          </w:p>
          <w:p w14:paraId="52484BC5" w14:textId="77777777" w:rsidR="000B001A" w:rsidRPr="005E0ED3" w:rsidRDefault="000B001A" w:rsidP="007B241E">
            <w:pPr>
              <w:numPr>
                <w:ilvl w:val="0"/>
                <w:numId w:val="1"/>
              </w:numPr>
              <w:spacing w:before="100" w:beforeAutospacing="1" w:after="100" w:afterAutospacing="1"/>
              <w:rPr>
                <w:rFonts w:ascii="Calibri" w:hAnsi="Calibri" w:cs="Calibri"/>
                <w:color w:val="333333"/>
                <w:sz w:val="22"/>
                <w:szCs w:val="22"/>
              </w:rPr>
            </w:pPr>
            <w:r>
              <w:rPr>
                <w:rFonts w:ascii="Calibri" w:hAnsi="Calibri"/>
                <w:color w:val="333333"/>
                <w:sz w:val="22"/>
                <w:szCs w:val="22"/>
              </w:rPr>
              <w:t>hydromorphone</w:t>
            </w:r>
          </w:p>
          <w:p w14:paraId="3A8F9903" w14:textId="77777777" w:rsidR="000B001A" w:rsidRPr="005E0ED3" w:rsidRDefault="000B001A" w:rsidP="007B241E">
            <w:pPr>
              <w:numPr>
                <w:ilvl w:val="0"/>
                <w:numId w:val="1"/>
              </w:numPr>
              <w:spacing w:before="100" w:beforeAutospacing="1" w:after="100" w:afterAutospacing="1"/>
              <w:rPr>
                <w:rFonts w:ascii="Calibri" w:hAnsi="Calibri" w:cs="Calibri"/>
                <w:color w:val="333333"/>
                <w:sz w:val="22"/>
                <w:szCs w:val="22"/>
              </w:rPr>
            </w:pPr>
            <w:r>
              <w:rPr>
                <w:rFonts w:ascii="Calibri" w:hAnsi="Calibri"/>
                <w:color w:val="333333"/>
                <w:sz w:val="22"/>
                <w:szCs w:val="22"/>
              </w:rPr>
              <w:t>héroïne médicale</w:t>
            </w:r>
          </w:p>
          <w:p w14:paraId="31EDD6C4" w14:textId="77777777" w:rsidR="000B001A" w:rsidRPr="005E0ED3" w:rsidRDefault="000B001A" w:rsidP="007B241E">
            <w:pPr>
              <w:numPr>
                <w:ilvl w:val="0"/>
                <w:numId w:val="1"/>
              </w:numPr>
              <w:spacing w:before="100" w:beforeAutospacing="1" w:after="100" w:afterAutospacing="1"/>
              <w:rPr>
                <w:rFonts w:ascii="Calibri" w:hAnsi="Calibri" w:cs="Calibri"/>
                <w:color w:val="333333"/>
                <w:sz w:val="22"/>
                <w:szCs w:val="22"/>
              </w:rPr>
            </w:pPr>
            <w:r>
              <w:rPr>
                <w:rFonts w:ascii="Calibri" w:hAnsi="Calibri"/>
                <w:color w:val="333333"/>
                <w:sz w:val="22"/>
                <w:szCs w:val="22"/>
              </w:rPr>
              <w:t>autre</w:t>
            </w:r>
          </w:p>
          <w:p w14:paraId="0C54EC68" w14:textId="77777777" w:rsidR="000B001A" w:rsidRPr="005E0ED3" w:rsidRDefault="000B001A" w:rsidP="007B241E">
            <w:pPr>
              <w:pStyle w:val="NormalWeb"/>
              <w:spacing w:before="0" w:beforeAutospacing="0" w:after="173" w:afterAutospacing="0"/>
              <w:rPr>
                <w:rFonts w:ascii="Calibri" w:hAnsi="Calibri" w:cs="Calibri"/>
                <w:color w:val="333333"/>
                <w:sz w:val="22"/>
                <w:szCs w:val="22"/>
              </w:rPr>
            </w:pPr>
            <w:r>
              <w:rPr>
                <w:rFonts w:ascii="Calibri" w:hAnsi="Calibri"/>
                <w:color w:val="333333"/>
                <w:sz w:val="22"/>
                <w:szCs w:val="22"/>
              </w:rPr>
              <w:t>Il est également possible de produire ou d’obtenir des opiacés illégalement.</w:t>
            </w:r>
          </w:p>
        </w:tc>
      </w:tr>
      <w:tr w:rsidR="000B001A" w:rsidRPr="005E0ED3" w14:paraId="7D830AAE" w14:textId="77777777" w:rsidTr="000B001A">
        <w:tc>
          <w:tcPr>
            <w:tcW w:w="2671" w:type="dxa"/>
          </w:tcPr>
          <w:p w14:paraId="42932A06" w14:textId="77777777" w:rsidR="000B001A" w:rsidRPr="005E0ED3" w:rsidRDefault="000B001A" w:rsidP="007B241E">
            <w:pPr>
              <w:rPr>
                <w:rFonts w:ascii="Calibri" w:hAnsi="Calibri" w:cs="Calibri"/>
                <w:sz w:val="22"/>
                <w:szCs w:val="22"/>
              </w:rPr>
            </w:pPr>
            <w:r>
              <w:rPr>
                <w:rFonts w:ascii="Calibri" w:hAnsi="Calibri"/>
                <w:sz w:val="22"/>
                <w:szCs w:val="22"/>
              </w:rPr>
              <w:t>Surdose</w:t>
            </w:r>
          </w:p>
        </w:tc>
        <w:tc>
          <w:tcPr>
            <w:tcW w:w="8523" w:type="dxa"/>
          </w:tcPr>
          <w:p w14:paraId="22BFF548" w14:textId="675BDB60" w:rsidR="000B001A" w:rsidRPr="005E0ED3" w:rsidRDefault="000B001A" w:rsidP="007B241E">
            <w:pPr>
              <w:pStyle w:val="NormalWeb"/>
              <w:spacing w:before="0" w:beforeAutospacing="0" w:after="173" w:afterAutospacing="0"/>
              <w:rPr>
                <w:rFonts w:ascii="Calibri" w:hAnsi="Calibri" w:cs="Calibri"/>
                <w:color w:val="333333"/>
                <w:sz w:val="22"/>
                <w:szCs w:val="22"/>
              </w:rPr>
            </w:pPr>
            <w:r>
              <w:rPr>
                <w:rFonts w:ascii="Calibri" w:hAnsi="Calibri"/>
                <w:color w:val="333333"/>
                <w:sz w:val="22"/>
                <w:szCs w:val="22"/>
              </w:rPr>
              <w:t>Une surdose se produit lorsqu’une personne prend une dose d’opiacés que le corps ne peut pas supporter, entraînant un ralentissement de la respiration. Les surdoses entraînent également un danger d’évanouissement, voire de mort (surdose mortelle).</w:t>
            </w:r>
          </w:p>
          <w:p w14:paraId="3931A179" w14:textId="77777777" w:rsidR="000B001A" w:rsidRPr="005E0ED3" w:rsidRDefault="000B001A" w:rsidP="007B241E">
            <w:pPr>
              <w:pStyle w:val="NormalWeb"/>
              <w:spacing w:before="0" w:beforeAutospacing="0" w:after="173" w:afterAutospacing="0"/>
              <w:rPr>
                <w:rFonts w:ascii="Calibri" w:hAnsi="Calibri" w:cs="Calibri"/>
                <w:color w:val="333333"/>
                <w:sz w:val="22"/>
                <w:szCs w:val="22"/>
              </w:rPr>
            </w:pPr>
            <w:r>
              <w:rPr>
                <w:rFonts w:ascii="Calibri" w:hAnsi="Calibri"/>
                <w:color w:val="333333"/>
                <w:sz w:val="22"/>
                <w:szCs w:val="22"/>
              </w:rPr>
              <w:t>Les signes et les symptômes d’une surdose comprennent :</w:t>
            </w:r>
          </w:p>
          <w:p w14:paraId="7548DE03" w14:textId="5D47439C"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Pr>
                <w:rFonts w:ascii="Calibri" w:hAnsi="Calibri"/>
                <w:color w:val="333333"/>
                <w:sz w:val="22"/>
                <w:szCs w:val="22"/>
              </w:rPr>
              <w:lastRenderedPageBreak/>
              <w:t>difficulté à marcher</w:t>
            </w:r>
          </w:p>
          <w:p w14:paraId="02A912CF" w14:textId="11F9A525"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Pr>
                <w:rFonts w:ascii="Calibri" w:hAnsi="Calibri"/>
                <w:color w:val="333333"/>
                <w:sz w:val="22"/>
                <w:szCs w:val="22"/>
              </w:rPr>
              <w:t>difficulté à parler</w:t>
            </w:r>
          </w:p>
          <w:p w14:paraId="1B17118B" w14:textId="757ED000"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Pr>
                <w:rFonts w:ascii="Calibri" w:hAnsi="Calibri"/>
                <w:color w:val="333333"/>
                <w:sz w:val="22"/>
                <w:szCs w:val="22"/>
              </w:rPr>
              <w:t>difficulté à rester éveillé</w:t>
            </w:r>
            <w:r>
              <w:rPr>
                <w:rStyle w:val="apple-converted-space"/>
                <w:rFonts w:ascii="Calibri" w:hAnsi="Calibri"/>
                <w:color w:val="333333"/>
                <w:sz w:val="22"/>
                <w:szCs w:val="22"/>
              </w:rPr>
              <w:t> </w:t>
            </w:r>
          </w:p>
          <w:p w14:paraId="5F08B079"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Pr>
                <w:rFonts w:ascii="Calibri" w:hAnsi="Calibri"/>
                <w:color w:val="333333"/>
                <w:sz w:val="22"/>
                <w:szCs w:val="22"/>
              </w:rPr>
              <w:t>lèvres et ongles bleus</w:t>
            </w:r>
            <w:r>
              <w:rPr>
                <w:rStyle w:val="apple-converted-space"/>
                <w:rFonts w:ascii="Calibri" w:hAnsi="Calibri"/>
                <w:color w:val="333333"/>
                <w:sz w:val="22"/>
                <w:szCs w:val="22"/>
              </w:rPr>
              <w:t> </w:t>
            </w:r>
          </w:p>
          <w:p w14:paraId="6B670DE3"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Pr>
                <w:rFonts w:ascii="Calibri" w:hAnsi="Calibri"/>
                <w:color w:val="333333"/>
                <w:sz w:val="22"/>
                <w:szCs w:val="22"/>
              </w:rPr>
              <w:t>pupilles très réduites</w:t>
            </w:r>
            <w:r>
              <w:rPr>
                <w:rStyle w:val="apple-converted-space"/>
                <w:rFonts w:ascii="Calibri" w:hAnsi="Calibri"/>
                <w:color w:val="333333"/>
                <w:sz w:val="22"/>
                <w:szCs w:val="22"/>
              </w:rPr>
              <w:t> </w:t>
            </w:r>
          </w:p>
          <w:p w14:paraId="6B8CA7F0"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Pr>
                <w:rFonts w:ascii="Calibri" w:hAnsi="Calibri"/>
                <w:color w:val="333333"/>
                <w:sz w:val="22"/>
                <w:szCs w:val="22"/>
              </w:rPr>
              <w:t>peau froide et moite</w:t>
            </w:r>
            <w:r>
              <w:rPr>
                <w:rStyle w:val="apple-converted-space"/>
                <w:rFonts w:ascii="Calibri" w:hAnsi="Calibri"/>
                <w:color w:val="333333"/>
                <w:sz w:val="22"/>
                <w:szCs w:val="22"/>
              </w:rPr>
              <w:t> </w:t>
            </w:r>
          </w:p>
          <w:p w14:paraId="0E138060"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Pr>
                <w:rFonts w:ascii="Calibri" w:hAnsi="Calibri"/>
                <w:color w:val="333333"/>
                <w:sz w:val="22"/>
                <w:szCs w:val="22"/>
              </w:rPr>
              <w:t>étourdissements et confusion</w:t>
            </w:r>
            <w:r>
              <w:rPr>
                <w:rStyle w:val="apple-converted-space"/>
                <w:rFonts w:ascii="Calibri" w:hAnsi="Calibri"/>
                <w:color w:val="333333"/>
                <w:sz w:val="22"/>
                <w:szCs w:val="22"/>
              </w:rPr>
              <w:t> </w:t>
            </w:r>
          </w:p>
          <w:p w14:paraId="1D30A2CB"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Pr>
                <w:rFonts w:ascii="Calibri" w:hAnsi="Calibri"/>
                <w:color w:val="333333"/>
                <w:sz w:val="22"/>
                <w:szCs w:val="22"/>
              </w:rPr>
              <w:t>torpeur extrême</w:t>
            </w:r>
            <w:r>
              <w:rPr>
                <w:rStyle w:val="apple-converted-space"/>
                <w:rFonts w:ascii="Calibri" w:hAnsi="Calibri"/>
                <w:color w:val="333333"/>
                <w:sz w:val="22"/>
                <w:szCs w:val="22"/>
              </w:rPr>
              <w:t> </w:t>
            </w:r>
          </w:p>
          <w:p w14:paraId="6DE1F6E6"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Pr>
                <w:rFonts w:ascii="Calibri" w:hAnsi="Calibri"/>
                <w:color w:val="333333"/>
                <w:sz w:val="22"/>
                <w:szCs w:val="22"/>
              </w:rPr>
              <w:t>bruits d’étouffement, de gargouillis ou de ronflement</w:t>
            </w:r>
            <w:r>
              <w:rPr>
                <w:rStyle w:val="apple-converted-space"/>
                <w:rFonts w:ascii="Calibri" w:hAnsi="Calibri"/>
                <w:color w:val="333333"/>
                <w:sz w:val="22"/>
                <w:szCs w:val="22"/>
              </w:rPr>
              <w:t> </w:t>
            </w:r>
          </w:p>
          <w:p w14:paraId="10C9B564"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Pr>
                <w:rFonts w:ascii="Calibri" w:hAnsi="Calibri"/>
                <w:color w:val="333333"/>
                <w:sz w:val="22"/>
                <w:szCs w:val="22"/>
              </w:rPr>
              <w:t>respiration lente, faible ou inexistante</w:t>
            </w:r>
          </w:p>
          <w:p w14:paraId="25407D18" w14:textId="77777777" w:rsidR="000B001A" w:rsidRPr="005E0ED3" w:rsidRDefault="000B001A" w:rsidP="007B241E">
            <w:pPr>
              <w:numPr>
                <w:ilvl w:val="0"/>
                <w:numId w:val="2"/>
              </w:numPr>
              <w:spacing w:before="100" w:beforeAutospacing="1" w:after="100" w:afterAutospacing="1"/>
              <w:rPr>
                <w:rFonts w:ascii="Calibri" w:hAnsi="Calibri" w:cs="Calibri"/>
                <w:color w:val="333333"/>
                <w:sz w:val="22"/>
                <w:szCs w:val="22"/>
              </w:rPr>
            </w:pPr>
            <w:r>
              <w:rPr>
                <w:rFonts w:ascii="Calibri" w:hAnsi="Calibri"/>
                <w:color w:val="333333"/>
                <w:sz w:val="22"/>
                <w:szCs w:val="22"/>
              </w:rPr>
              <w:t>impossibilité de se réveiller, même en cas de secousses et de cris</w:t>
            </w:r>
          </w:p>
        </w:tc>
      </w:tr>
      <w:tr w:rsidR="000B001A" w:rsidRPr="005E0ED3" w14:paraId="7FE0BCD2" w14:textId="77777777" w:rsidTr="000B001A">
        <w:tc>
          <w:tcPr>
            <w:tcW w:w="2671" w:type="dxa"/>
          </w:tcPr>
          <w:p w14:paraId="273DC0E1" w14:textId="1B38281D" w:rsidR="000B001A" w:rsidRPr="005E0ED3" w:rsidRDefault="000B001A" w:rsidP="007B241E">
            <w:pPr>
              <w:rPr>
                <w:rFonts w:ascii="Calibri" w:hAnsi="Calibri" w:cs="Calibri"/>
                <w:sz w:val="22"/>
                <w:szCs w:val="22"/>
              </w:rPr>
            </w:pPr>
            <w:r>
              <w:rPr>
                <w:rFonts w:ascii="Calibri" w:hAnsi="Calibri"/>
                <w:sz w:val="22"/>
                <w:szCs w:val="22"/>
              </w:rPr>
              <w:lastRenderedPageBreak/>
              <w:t>Centres de prévention des surdoses</w:t>
            </w:r>
          </w:p>
        </w:tc>
        <w:tc>
          <w:tcPr>
            <w:tcW w:w="8523" w:type="dxa"/>
          </w:tcPr>
          <w:p w14:paraId="471685B2" w14:textId="54679A4E" w:rsidR="000B001A" w:rsidRPr="005E0ED3" w:rsidRDefault="000B001A" w:rsidP="007B241E">
            <w:pPr>
              <w:rPr>
                <w:rFonts w:ascii="Calibri" w:hAnsi="Calibri" w:cs="Calibri"/>
                <w:sz w:val="22"/>
                <w:szCs w:val="22"/>
              </w:rPr>
            </w:pPr>
            <w:r>
              <w:rPr>
                <w:rFonts w:ascii="Calibri" w:hAnsi="Calibri"/>
                <w:sz w:val="22"/>
                <w:szCs w:val="22"/>
              </w:rPr>
              <w:t>Les centres de prévention des surdoses, également appelés centres de traitement des besoins urgents en santé publique, sont des structures temporaires généralement créées par des bénévoles. Ils visent à fournir un espace aux toxicomanes pour qu’ils consomment leurs stupéfiants, ainsi que des mesures de traitement des surdoses, le cas échéant.</w:t>
            </w:r>
          </w:p>
        </w:tc>
      </w:tr>
      <w:tr w:rsidR="000B001A" w:rsidRPr="005E0ED3" w14:paraId="6C439CF9" w14:textId="77777777" w:rsidTr="000B001A">
        <w:tc>
          <w:tcPr>
            <w:tcW w:w="2671" w:type="dxa"/>
          </w:tcPr>
          <w:p w14:paraId="4621EA48" w14:textId="3245790B" w:rsidR="000B001A" w:rsidRPr="005E0ED3" w:rsidRDefault="000B001A" w:rsidP="007B241E">
            <w:pPr>
              <w:rPr>
                <w:rFonts w:ascii="Calibri" w:hAnsi="Calibri" w:cs="Calibri"/>
                <w:sz w:val="22"/>
                <w:szCs w:val="22"/>
              </w:rPr>
            </w:pPr>
            <w:r>
              <w:rPr>
                <w:rFonts w:ascii="Calibri" w:hAnsi="Calibri"/>
                <w:sz w:val="22"/>
                <w:szCs w:val="22"/>
              </w:rPr>
              <w:t>Paramètre</w:t>
            </w:r>
          </w:p>
        </w:tc>
        <w:tc>
          <w:tcPr>
            <w:tcW w:w="8523" w:type="dxa"/>
          </w:tcPr>
          <w:p w14:paraId="1E259C7B" w14:textId="2E41743D" w:rsidR="000B001A" w:rsidRPr="005E0ED3" w:rsidRDefault="000B001A" w:rsidP="007B241E">
            <w:pPr>
              <w:pStyle w:val="NormalWeb"/>
              <w:rPr>
                <w:rFonts w:ascii="Calibri" w:hAnsi="Calibri" w:cs="Calibri"/>
                <w:sz w:val="22"/>
                <w:szCs w:val="22"/>
              </w:rPr>
            </w:pPr>
            <w:r>
              <w:rPr>
                <w:rFonts w:ascii="Calibri" w:hAnsi="Calibri"/>
                <w:sz w:val="22"/>
                <w:szCs w:val="22"/>
              </w:rPr>
              <w:t>Un paramètre est un exemple de définition d’un facteur déterminant. Par exemple, « âge » est un paramètre du facteur déterminant « données individuelles ».</w:t>
            </w:r>
          </w:p>
        </w:tc>
      </w:tr>
      <w:tr w:rsidR="000B001A" w:rsidRPr="005E0ED3" w14:paraId="7A746191" w14:textId="77777777" w:rsidTr="000B001A">
        <w:tc>
          <w:tcPr>
            <w:tcW w:w="2671" w:type="dxa"/>
          </w:tcPr>
          <w:p w14:paraId="67A58D8C" w14:textId="77777777" w:rsidR="000B001A" w:rsidRPr="005E0ED3" w:rsidRDefault="000B001A" w:rsidP="007B241E">
            <w:pPr>
              <w:rPr>
                <w:rFonts w:ascii="Calibri" w:hAnsi="Calibri" w:cs="Calibri"/>
                <w:sz w:val="22"/>
                <w:szCs w:val="22"/>
              </w:rPr>
            </w:pPr>
            <w:r>
              <w:rPr>
                <w:rFonts w:ascii="Calibri" w:hAnsi="Calibri"/>
                <w:sz w:val="22"/>
                <w:szCs w:val="22"/>
              </w:rPr>
              <w:t>Utilisation d’opiacés sur ordonnance</w:t>
            </w:r>
          </w:p>
        </w:tc>
        <w:tc>
          <w:tcPr>
            <w:tcW w:w="8523" w:type="dxa"/>
          </w:tcPr>
          <w:p w14:paraId="55342227" w14:textId="5ED699B7" w:rsidR="000B001A" w:rsidRPr="005E0ED3" w:rsidRDefault="000B001A" w:rsidP="007B241E">
            <w:pPr>
              <w:pStyle w:val="NormalWeb"/>
              <w:rPr>
                <w:rFonts w:ascii="Calibri" w:hAnsi="Calibri" w:cs="Calibri"/>
                <w:sz w:val="22"/>
                <w:szCs w:val="22"/>
              </w:rPr>
            </w:pPr>
            <w:r>
              <w:rPr>
                <w:rFonts w:ascii="Calibri" w:hAnsi="Calibri"/>
                <w:sz w:val="22"/>
                <w:szCs w:val="22"/>
              </w:rPr>
              <w:t xml:space="preserve">L’utilisation d’opiacés sur ordonnance consiste à consommer des opiacés sur prescription (ou sous la supervision) d’un médecin formé. </w:t>
            </w:r>
          </w:p>
        </w:tc>
      </w:tr>
      <w:tr w:rsidR="000B001A" w:rsidRPr="005E0ED3" w14:paraId="375753D0" w14:textId="77777777" w:rsidTr="000B001A">
        <w:tc>
          <w:tcPr>
            <w:tcW w:w="2671" w:type="dxa"/>
          </w:tcPr>
          <w:p w14:paraId="4E833A32" w14:textId="519B7518" w:rsidR="000B001A" w:rsidRPr="005E0ED3" w:rsidRDefault="000B001A" w:rsidP="007B241E">
            <w:pPr>
              <w:rPr>
                <w:rFonts w:ascii="Calibri" w:hAnsi="Calibri" w:cs="Calibri"/>
                <w:sz w:val="22"/>
                <w:szCs w:val="22"/>
              </w:rPr>
            </w:pPr>
            <w:r>
              <w:rPr>
                <w:rFonts w:ascii="Calibri" w:hAnsi="Calibri"/>
                <w:sz w:val="22"/>
                <w:szCs w:val="22"/>
              </w:rPr>
              <w:t>Utilisation de substances problématiques</w:t>
            </w:r>
          </w:p>
        </w:tc>
        <w:tc>
          <w:tcPr>
            <w:tcW w:w="8523" w:type="dxa"/>
          </w:tcPr>
          <w:p w14:paraId="1B5C625D" w14:textId="53E7E997" w:rsidR="000B001A" w:rsidRPr="005E0ED3" w:rsidRDefault="000B001A" w:rsidP="007B241E">
            <w:pPr>
              <w:pStyle w:val="NormalWeb"/>
              <w:rPr>
                <w:rFonts w:ascii="Calibri" w:hAnsi="Calibri" w:cs="Calibri"/>
                <w:sz w:val="22"/>
                <w:szCs w:val="22"/>
              </w:rPr>
            </w:pPr>
            <w:r>
              <w:rPr>
                <w:rFonts w:ascii="Calibri" w:hAnsi="Calibri"/>
                <w:sz w:val="22"/>
                <w:szCs w:val="22"/>
              </w:rPr>
              <w:t>L’utilisation de substances problématiques, également nommée consommation de stupéfiants, consiste à consommer, de manière néfaste ou dangereuse, des drogues à la fois illégales et sur ordonnance à des fins non médicales. L’utilisation de telles drogues peut entraîner un certain nombre de problèmes physiques, mais touche principalement le fonctionnement du système nerveux et la cognition, les perceptions et le comportement des personnes. La prise excessive de drogues peut également entraîner une dépendance physique.</w:t>
            </w:r>
          </w:p>
        </w:tc>
      </w:tr>
      <w:tr w:rsidR="000B001A" w:rsidRPr="005E0ED3" w14:paraId="791E2E45" w14:textId="77777777" w:rsidTr="000B001A">
        <w:tc>
          <w:tcPr>
            <w:tcW w:w="2671" w:type="dxa"/>
          </w:tcPr>
          <w:p w14:paraId="7304BCB8" w14:textId="2607A4C6" w:rsidR="000B001A" w:rsidRPr="005E0ED3" w:rsidRDefault="000B001A" w:rsidP="007B241E">
            <w:pPr>
              <w:rPr>
                <w:rFonts w:ascii="Calibri" w:hAnsi="Calibri" w:cs="Calibri"/>
                <w:sz w:val="22"/>
                <w:szCs w:val="22"/>
              </w:rPr>
            </w:pPr>
            <w:r>
              <w:rPr>
                <w:rFonts w:ascii="Calibri" w:hAnsi="Calibri"/>
                <w:sz w:val="22"/>
                <w:szCs w:val="22"/>
              </w:rPr>
              <w:t>Respiration artificielle</w:t>
            </w:r>
          </w:p>
        </w:tc>
        <w:tc>
          <w:tcPr>
            <w:tcW w:w="8523" w:type="dxa"/>
          </w:tcPr>
          <w:p w14:paraId="17C8DF93" w14:textId="0E490ED5" w:rsidR="000B001A" w:rsidRPr="005E0ED3" w:rsidRDefault="000B001A" w:rsidP="007B241E">
            <w:pPr>
              <w:pStyle w:val="NormalWeb"/>
              <w:rPr>
                <w:rFonts w:ascii="Calibri" w:hAnsi="Calibri" w:cs="Calibri"/>
                <w:sz w:val="22"/>
                <w:szCs w:val="22"/>
              </w:rPr>
            </w:pPr>
            <w:r>
              <w:rPr>
                <w:rFonts w:ascii="Calibri" w:hAnsi="Calibri"/>
                <w:color w:val="2E2E30"/>
                <w:sz w:val="22"/>
                <w:szCs w:val="22"/>
                <w:shd w:val="clear" w:color="auto" w:fill="FFFFFF"/>
              </w:rPr>
              <w:t>La respiration artificielle est un geste effectué lorsque la victime ne respire plus du tout, trop lentement ou irrégulièrement. La respiration artificielle consiste à obstruer le nez de la victime en le pinçant, puis à souffler dans sa bouche.</w:t>
            </w:r>
          </w:p>
        </w:tc>
      </w:tr>
      <w:tr w:rsidR="000B001A" w:rsidRPr="005E0ED3" w14:paraId="13BDDB67" w14:textId="77777777" w:rsidTr="000B001A">
        <w:tc>
          <w:tcPr>
            <w:tcW w:w="2671" w:type="dxa"/>
          </w:tcPr>
          <w:p w14:paraId="07CB8593" w14:textId="77777777" w:rsidR="000B001A" w:rsidRPr="005E0ED3" w:rsidRDefault="000B001A" w:rsidP="007B241E">
            <w:pPr>
              <w:rPr>
                <w:rFonts w:ascii="Calibri" w:hAnsi="Calibri" w:cs="Calibri"/>
                <w:sz w:val="22"/>
                <w:szCs w:val="22"/>
              </w:rPr>
            </w:pPr>
            <w:r>
              <w:rPr>
                <w:rFonts w:ascii="Calibri" w:hAnsi="Calibri"/>
                <w:sz w:val="22"/>
                <w:szCs w:val="22"/>
              </w:rPr>
              <w:t>Centre de consommation supervisée</w:t>
            </w:r>
          </w:p>
        </w:tc>
        <w:tc>
          <w:tcPr>
            <w:tcW w:w="8523" w:type="dxa"/>
          </w:tcPr>
          <w:p w14:paraId="25D00B5B" w14:textId="77777777" w:rsidR="000B001A" w:rsidRPr="005E0ED3" w:rsidRDefault="000B001A" w:rsidP="007B241E">
            <w:pPr>
              <w:rPr>
                <w:rFonts w:ascii="Calibri" w:hAnsi="Calibri" w:cs="Calibri"/>
                <w:color w:val="222222"/>
                <w:sz w:val="22"/>
                <w:szCs w:val="22"/>
                <w:shd w:val="clear" w:color="auto" w:fill="FFFFFF"/>
              </w:rPr>
            </w:pPr>
            <w:r>
              <w:rPr>
                <w:rFonts w:ascii="Calibri" w:hAnsi="Calibri"/>
                <w:color w:val="222222"/>
                <w:sz w:val="22"/>
                <w:szCs w:val="22"/>
                <w:shd w:val="clear" w:color="auto" w:fill="FFFFFF"/>
              </w:rPr>
              <w:t xml:space="preserve">Les centres de consommation supervisée sont des structures permanentes qui constituent la première étape pour les personnes désireuses de cesser ou de réduire leur consommation de stupéfiants. </w:t>
            </w:r>
          </w:p>
          <w:p w14:paraId="39506951" w14:textId="77777777" w:rsidR="000B001A" w:rsidRPr="005E0ED3" w:rsidRDefault="000B001A" w:rsidP="007B241E">
            <w:pPr>
              <w:rPr>
                <w:rFonts w:ascii="Calibri" w:hAnsi="Calibri" w:cs="Calibri"/>
                <w:color w:val="222222"/>
                <w:sz w:val="22"/>
                <w:szCs w:val="22"/>
                <w:shd w:val="clear" w:color="auto" w:fill="FFFFFF"/>
              </w:rPr>
            </w:pPr>
            <w:r>
              <w:rPr>
                <w:rFonts w:ascii="Calibri" w:hAnsi="Calibri"/>
                <w:color w:val="222222"/>
                <w:sz w:val="22"/>
                <w:szCs w:val="22"/>
                <w:shd w:val="clear" w:color="auto" w:fill="FFFFFF"/>
              </w:rPr>
              <w:t>Les centres de consommation supervisée fournissent notamment les services suivants :</w:t>
            </w:r>
          </w:p>
          <w:p w14:paraId="5CE5184C" w14:textId="77777777" w:rsidR="000B001A" w:rsidRPr="005E0ED3" w:rsidRDefault="000B001A" w:rsidP="007B241E">
            <w:pPr>
              <w:pStyle w:val="ListParagraph"/>
              <w:numPr>
                <w:ilvl w:val="0"/>
                <w:numId w:val="6"/>
              </w:numPr>
              <w:rPr>
                <w:rFonts w:ascii="Calibri" w:hAnsi="Calibri" w:cs="Calibri"/>
                <w:color w:val="222222"/>
                <w:sz w:val="22"/>
                <w:szCs w:val="22"/>
                <w:shd w:val="clear" w:color="auto" w:fill="FFFFFF"/>
              </w:rPr>
            </w:pPr>
            <w:r>
              <w:rPr>
                <w:rFonts w:ascii="Calibri" w:hAnsi="Calibri"/>
                <w:color w:val="222222"/>
                <w:sz w:val="22"/>
                <w:szCs w:val="22"/>
                <w:shd w:val="clear" w:color="auto" w:fill="FFFFFF"/>
              </w:rPr>
              <w:lastRenderedPageBreak/>
              <w:t>Un lieu sûr et propre où consommer des substances illégales</w:t>
            </w:r>
          </w:p>
          <w:p w14:paraId="5BE20D93" w14:textId="77777777" w:rsidR="000B001A" w:rsidRPr="005E0ED3" w:rsidRDefault="000B001A" w:rsidP="007B241E">
            <w:pPr>
              <w:pStyle w:val="ListParagraph"/>
              <w:numPr>
                <w:ilvl w:val="0"/>
                <w:numId w:val="6"/>
              </w:numPr>
              <w:rPr>
                <w:rFonts w:ascii="Calibri" w:hAnsi="Calibri" w:cs="Calibri"/>
                <w:color w:val="222222"/>
                <w:sz w:val="22"/>
                <w:szCs w:val="22"/>
                <w:shd w:val="clear" w:color="auto" w:fill="FFFFFF"/>
              </w:rPr>
            </w:pPr>
            <w:r>
              <w:rPr>
                <w:rFonts w:ascii="Calibri" w:hAnsi="Calibri"/>
                <w:color w:val="222222"/>
                <w:sz w:val="22"/>
                <w:szCs w:val="22"/>
                <w:shd w:val="clear" w:color="auto" w:fill="FFFFFF"/>
              </w:rPr>
              <w:t>Le contrôle des drogues afin de déceler d’éventuels altérateurs à l’aide de bandelettes de détection du fentanyl</w:t>
            </w:r>
          </w:p>
          <w:p w14:paraId="60D25BF5" w14:textId="49899721" w:rsidR="000B001A" w:rsidRPr="005E0ED3" w:rsidRDefault="000B001A" w:rsidP="007B241E">
            <w:pPr>
              <w:pStyle w:val="ListParagraph"/>
              <w:numPr>
                <w:ilvl w:val="0"/>
                <w:numId w:val="6"/>
              </w:numPr>
              <w:rPr>
                <w:rFonts w:ascii="Calibri" w:hAnsi="Calibri" w:cs="Calibri"/>
                <w:color w:val="222222"/>
                <w:sz w:val="22"/>
                <w:szCs w:val="22"/>
                <w:shd w:val="clear" w:color="auto" w:fill="FFFFFF"/>
              </w:rPr>
            </w:pPr>
            <w:r>
              <w:rPr>
                <w:rFonts w:ascii="Calibri" w:hAnsi="Calibri"/>
                <w:color w:val="222222"/>
                <w:sz w:val="22"/>
                <w:szCs w:val="22"/>
                <w:shd w:val="clear" w:color="auto" w:fill="FFFFFF"/>
              </w:rPr>
              <w:t>Des services de santé de base, notamment le traitement des plaies</w:t>
            </w:r>
          </w:p>
        </w:tc>
      </w:tr>
    </w:tbl>
    <w:p w14:paraId="51DD73D0" w14:textId="77777777" w:rsidR="008254E7" w:rsidRPr="005E0ED3" w:rsidRDefault="00016328">
      <w:pPr>
        <w:rPr>
          <w:rFonts w:ascii="Calibri" w:hAnsi="Calibri" w:cs="Calibri"/>
        </w:rPr>
      </w:pPr>
    </w:p>
    <w:sectPr w:rsidR="008254E7" w:rsidRPr="005E0ED3" w:rsidSect="0036012D">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0D6ED3" w14:textId="77777777" w:rsidR="00016328" w:rsidRDefault="00016328" w:rsidP="00B634D0">
      <w:r>
        <w:separator/>
      </w:r>
    </w:p>
  </w:endnote>
  <w:endnote w:type="continuationSeparator" w:id="0">
    <w:p w14:paraId="219E270D" w14:textId="77777777" w:rsidR="00016328" w:rsidRDefault="00016328" w:rsidP="00B63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DB4D78" w14:textId="77777777" w:rsidR="00016328" w:rsidRDefault="00016328" w:rsidP="00B634D0">
      <w:r>
        <w:separator/>
      </w:r>
    </w:p>
  </w:footnote>
  <w:footnote w:type="continuationSeparator" w:id="0">
    <w:p w14:paraId="2A057DD7" w14:textId="77777777" w:rsidR="00016328" w:rsidRDefault="00016328" w:rsidP="00B634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34349"/>
    <w:multiLevelType w:val="hybridMultilevel"/>
    <w:tmpl w:val="1A6051C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CB06E2F"/>
    <w:multiLevelType w:val="multilevel"/>
    <w:tmpl w:val="AD88B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EA4787"/>
    <w:multiLevelType w:val="multilevel"/>
    <w:tmpl w:val="99083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9B1D22"/>
    <w:multiLevelType w:val="hybridMultilevel"/>
    <w:tmpl w:val="AE965B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4B3B52B4"/>
    <w:multiLevelType w:val="hybridMultilevel"/>
    <w:tmpl w:val="011CF2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3562DF0"/>
    <w:multiLevelType w:val="multilevel"/>
    <w:tmpl w:val="390E5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23A"/>
    <w:rsid w:val="00016328"/>
    <w:rsid w:val="00027964"/>
    <w:rsid w:val="00055060"/>
    <w:rsid w:val="00066EBB"/>
    <w:rsid w:val="00091AF4"/>
    <w:rsid w:val="000B001A"/>
    <w:rsid w:val="000B1574"/>
    <w:rsid w:val="000D2287"/>
    <w:rsid w:val="001038CC"/>
    <w:rsid w:val="0011457A"/>
    <w:rsid w:val="00115F83"/>
    <w:rsid w:val="00127DC9"/>
    <w:rsid w:val="001972A1"/>
    <w:rsid w:val="001D75DB"/>
    <w:rsid w:val="001E2371"/>
    <w:rsid w:val="00206C91"/>
    <w:rsid w:val="00224EA0"/>
    <w:rsid w:val="00271820"/>
    <w:rsid w:val="00290576"/>
    <w:rsid w:val="002B2EF5"/>
    <w:rsid w:val="002D1A4E"/>
    <w:rsid w:val="003177D6"/>
    <w:rsid w:val="0036012D"/>
    <w:rsid w:val="003C0614"/>
    <w:rsid w:val="003E065F"/>
    <w:rsid w:val="00466EF8"/>
    <w:rsid w:val="0051323A"/>
    <w:rsid w:val="00530EBA"/>
    <w:rsid w:val="00537850"/>
    <w:rsid w:val="00546AC1"/>
    <w:rsid w:val="005626FF"/>
    <w:rsid w:val="005E0DC6"/>
    <w:rsid w:val="005E0ED3"/>
    <w:rsid w:val="00620CA4"/>
    <w:rsid w:val="00625A82"/>
    <w:rsid w:val="00632AD5"/>
    <w:rsid w:val="00653E6D"/>
    <w:rsid w:val="006E379F"/>
    <w:rsid w:val="006F5530"/>
    <w:rsid w:val="007248FB"/>
    <w:rsid w:val="00755831"/>
    <w:rsid w:val="007B241E"/>
    <w:rsid w:val="007B5038"/>
    <w:rsid w:val="00815786"/>
    <w:rsid w:val="008701FE"/>
    <w:rsid w:val="00950DF0"/>
    <w:rsid w:val="0096122A"/>
    <w:rsid w:val="00972857"/>
    <w:rsid w:val="0098715B"/>
    <w:rsid w:val="00AD6C0C"/>
    <w:rsid w:val="00B1009C"/>
    <w:rsid w:val="00B634D0"/>
    <w:rsid w:val="00B764D2"/>
    <w:rsid w:val="00BA420B"/>
    <w:rsid w:val="00C12A00"/>
    <w:rsid w:val="00C261E8"/>
    <w:rsid w:val="00CE7396"/>
    <w:rsid w:val="00CF604B"/>
    <w:rsid w:val="00DC36BD"/>
    <w:rsid w:val="00E1728D"/>
    <w:rsid w:val="00E34356"/>
    <w:rsid w:val="00E57006"/>
    <w:rsid w:val="00E84C30"/>
    <w:rsid w:val="00F40625"/>
    <w:rsid w:val="00F41C49"/>
    <w:rsid w:val="00F64693"/>
    <w:rsid w:val="00F96E65"/>
    <w:rsid w:val="00FE2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176EAE"/>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32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701FE"/>
    <w:pPr>
      <w:spacing w:before="100" w:beforeAutospacing="1" w:after="100" w:afterAutospacing="1"/>
    </w:pPr>
    <w:rPr>
      <w:rFonts w:ascii="Times New Roman" w:eastAsia="Times New Roman" w:hAnsi="Times New Roman" w:cs="Times New Roman"/>
      <w:lang w:eastAsia="en-CA"/>
    </w:rPr>
  </w:style>
  <w:style w:type="character" w:customStyle="1" w:styleId="apple-converted-space">
    <w:name w:val="apple-converted-space"/>
    <w:basedOn w:val="DefaultParagraphFont"/>
    <w:rsid w:val="006E379F"/>
  </w:style>
  <w:style w:type="character" w:styleId="Strong">
    <w:name w:val="Strong"/>
    <w:basedOn w:val="DefaultParagraphFont"/>
    <w:uiPriority w:val="22"/>
    <w:qFormat/>
    <w:rsid w:val="006E379F"/>
    <w:rPr>
      <w:b/>
      <w:bCs/>
    </w:rPr>
  </w:style>
  <w:style w:type="paragraph" w:styleId="ListParagraph">
    <w:name w:val="List Paragraph"/>
    <w:basedOn w:val="Normal"/>
    <w:uiPriority w:val="34"/>
    <w:qFormat/>
    <w:rsid w:val="00F41C49"/>
    <w:pPr>
      <w:ind w:left="720"/>
      <w:contextualSpacing/>
    </w:pPr>
  </w:style>
  <w:style w:type="character" w:styleId="Hyperlink">
    <w:name w:val="Hyperlink"/>
    <w:basedOn w:val="DefaultParagraphFont"/>
    <w:uiPriority w:val="99"/>
    <w:unhideWhenUsed/>
    <w:rsid w:val="00653E6D"/>
    <w:rPr>
      <w:color w:val="0563C1" w:themeColor="hyperlink"/>
      <w:u w:val="single"/>
    </w:rPr>
  </w:style>
  <w:style w:type="character" w:customStyle="1" w:styleId="UnresolvedMention1">
    <w:name w:val="Unresolved Mention1"/>
    <w:basedOn w:val="DefaultParagraphFont"/>
    <w:uiPriority w:val="99"/>
    <w:rsid w:val="00653E6D"/>
    <w:rPr>
      <w:color w:val="808080"/>
      <w:shd w:val="clear" w:color="auto" w:fill="E6E6E6"/>
    </w:rPr>
  </w:style>
  <w:style w:type="paragraph" w:styleId="BalloonText">
    <w:name w:val="Balloon Text"/>
    <w:basedOn w:val="Normal"/>
    <w:link w:val="BalloonTextChar"/>
    <w:uiPriority w:val="99"/>
    <w:semiHidden/>
    <w:unhideWhenUsed/>
    <w:rsid w:val="0005506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506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E57006"/>
    <w:rPr>
      <w:sz w:val="16"/>
      <w:szCs w:val="16"/>
    </w:rPr>
  </w:style>
  <w:style w:type="paragraph" w:styleId="CommentText">
    <w:name w:val="annotation text"/>
    <w:basedOn w:val="Normal"/>
    <w:link w:val="CommentTextChar"/>
    <w:uiPriority w:val="99"/>
    <w:semiHidden/>
    <w:unhideWhenUsed/>
    <w:rsid w:val="00E57006"/>
    <w:rPr>
      <w:sz w:val="20"/>
      <w:szCs w:val="20"/>
    </w:rPr>
  </w:style>
  <w:style w:type="character" w:customStyle="1" w:styleId="CommentTextChar">
    <w:name w:val="Comment Text Char"/>
    <w:basedOn w:val="DefaultParagraphFont"/>
    <w:link w:val="CommentText"/>
    <w:uiPriority w:val="99"/>
    <w:semiHidden/>
    <w:rsid w:val="00E57006"/>
    <w:rPr>
      <w:sz w:val="20"/>
      <w:szCs w:val="20"/>
    </w:rPr>
  </w:style>
  <w:style w:type="paragraph" w:styleId="CommentSubject">
    <w:name w:val="annotation subject"/>
    <w:basedOn w:val="CommentText"/>
    <w:next w:val="CommentText"/>
    <w:link w:val="CommentSubjectChar"/>
    <w:uiPriority w:val="99"/>
    <w:semiHidden/>
    <w:unhideWhenUsed/>
    <w:rsid w:val="00E57006"/>
    <w:rPr>
      <w:b/>
      <w:bCs/>
    </w:rPr>
  </w:style>
  <w:style w:type="character" w:customStyle="1" w:styleId="CommentSubjectChar">
    <w:name w:val="Comment Subject Char"/>
    <w:basedOn w:val="CommentTextChar"/>
    <w:link w:val="CommentSubject"/>
    <w:uiPriority w:val="99"/>
    <w:semiHidden/>
    <w:rsid w:val="00E57006"/>
    <w:rPr>
      <w:b/>
      <w:bCs/>
      <w:sz w:val="20"/>
      <w:szCs w:val="20"/>
    </w:rPr>
  </w:style>
  <w:style w:type="paragraph" w:styleId="Revision">
    <w:name w:val="Revision"/>
    <w:hidden/>
    <w:uiPriority w:val="99"/>
    <w:semiHidden/>
    <w:rsid w:val="00224EA0"/>
  </w:style>
  <w:style w:type="character" w:styleId="FollowedHyperlink">
    <w:name w:val="FollowedHyperlink"/>
    <w:basedOn w:val="DefaultParagraphFont"/>
    <w:uiPriority w:val="99"/>
    <w:semiHidden/>
    <w:unhideWhenUsed/>
    <w:rsid w:val="00DC36BD"/>
    <w:rPr>
      <w:color w:val="954F72" w:themeColor="followedHyperlink"/>
      <w:u w:val="single"/>
    </w:rPr>
  </w:style>
  <w:style w:type="paragraph" w:styleId="Header">
    <w:name w:val="header"/>
    <w:basedOn w:val="Normal"/>
    <w:link w:val="HeaderChar"/>
    <w:uiPriority w:val="99"/>
    <w:unhideWhenUsed/>
    <w:rsid w:val="00B634D0"/>
    <w:pPr>
      <w:tabs>
        <w:tab w:val="center" w:pos="4513"/>
        <w:tab w:val="right" w:pos="9026"/>
      </w:tabs>
    </w:pPr>
  </w:style>
  <w:style w:type="character" w:customStyle="1" w:styleId="HeaderChar">
    <w:name w:val="Header Char"/>
    <w:basedOn w:val="DefaultParagraphFont"/>
    <w:link w:val="Header"/>
    <w:uiPriority w:val="99"/>
    <w:rsid w:val="00B634D0"/>
  </w:style>
  <w:style w:type="paragraph" w:styleId="Footer">
    <w:name w:val="footer"/>
    <w:basedOn w:val="Normal"/>
    <w:link w:val="FooterChar"/>
    <w:uiPriority w:val="99"/>
    <w:unhideWhenUsed/>
    <w:rsid w:val="00B634D0"/>
    <w:pPr>
      <w:tabs>
        <w:tab w:val="center" w:pos="4513"/>
        <w:tab w:val="right" w:pos="9026"/>
      </w:tabs>
    </w:pPr>
  </w:style>
  <w:style w:type="character" w:customStyle="1" w:styleId="FooterChar">
    <w:name w:val="Footer Char"/>
    <w:basedOn w:val="DefaultParagraphFont"/>
    <w:link w:val="Footer"/>
    <w:uiPriority w:val="99"/>
    <w:rsid w:val="00B63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56427">
      <w:bodyDiv w:val="1"/>
      <w:marLeft w:val="0"/>
      <w:marRight w:val="0"/>
      <w:marTop w:val="0"/>
      <w:marBottom w:val="0"/>
      <w:divBdr>
        <w:top w:val="none" w:sz="0" w:space="0" w:color="auto"/>
        <w:left w:val="none" w:sz="0" w:space="0" w:color="auto"/>
        <w:bottom w:val="none" w:sz="0" w:space="0" w:color="auto"/>
        <w:right w:val="none" w:sz="0" w:space="0" w:color="auto"/>
      </w:divBdr>
    </w:div>
    <w:div w:id="139855897">
      <w:bodyDiv w:val="1"/>
      <w:marLeft w:val="0"/>
      <w:marRight w:val="0"/>
      <w:marTop w:val="0"/>
      <w:marBottom w:val="0"/>
      <w:divBdr>
        <w:top w:val="none" w:sz="0" w:space="0" w:color="auto"/>
        <w:left w:val="none" w:sz="0" w:space="0" w:color="auto"/>
        <w:bottom w:val="none" w:sz="0" w:space="0" w:color="auto"/>
        <w:right w:val="none" w:sz="0" w:space="0" w:color="auto"/>
      </w:divBdr>
    </w:div>
    <w:div w:id="159975087">
      <w:bodyDiv w:val="1"/>
      <w:marLeft w:val="0"/>
      <w:marRight w:val="0"/>
      <w:marTop w:val="0"/>
      <w:marBottom w:val="0"/>
      <w:divBdr>
        <w:top w:val="none" w:sz="0" w:space="0" w:color="auto"/>
        <w:left w:val="none" w:sz="0" w:space="0" w:color="auto"/>
        <w:bottom w:val="none" w:sz="0" w:space="0" w:color="auto"/>
        <w:right w:val="none" w:sz="0" w:space="0" w:color="auto"/>
      </w:divBdr>
    </w:div>
    <w:div w:id="429282829">
      <w:bodyDiv w:val="1"/>
      <w:marLeft w:val="0"/>
      <w:marRight w:val="0"/>
      <w:marTop w:val="0"/>
      <w:marBottom w:val="0"/>
      <w:divBdr>
        <w:top w:val="none" w:sz="0" w:space="0" w:color="auto"/>
        <w:left w:val="none" w:sz="0" w:space="0" w:color="auto"/>
        <w:bottom w:val="none" w:sz="0" w:space="0" w:color="auto"/>
        <w:right w:val="none" w:sz="0" w:space="0" w:color="auto"/>
      </w:divBdr>
    </w:div>
    <w:div w:id="453642038">
      <w:bodyDiv w:val="1"/>
      <w:marLeft w:val="0"/>
      <w:marRight w:val="0"/>
      <w:marTop w:val="0"/>
      <w:marBottom w:val="0"/>
      <w:divBdr>
        <w:top w:val="none" w:sz="0" w:space="0" w:color="auto"/>
        <w:left w:val="none" w:sz="0" w:space="0" w:color="auto"/>
        <w:bottom w:val="none" w:sz="0" w:space="0" w:color="auto"/>
        <w:right w:val="none" w:sz="0" w:space="0" w:color="auto"/>
      </w:divBdr>
    </w:div>
    <w:div w:id="592784337">
      <w:bodyDiv w:val="1"/>
      <w:marLeft w:val="0"/>
      <w:marRight w:val="0"/>
      <w:marTop w:val="0"/>
      <w:marBottom w:val="0"/>
      <w:divBdr>
        <w:top w:val="none" w:sz="0" w:space="0" w:color="auto"/>
        <w:left w:val="none" w:sz="0" w:space="0" w:color="auto"/>
        <w:bottom w:val="none" w:sz="0" w:space="0" w:color="auto"/>
        <w:right w:val="none" w:sz="0" w:space="0" w:color="auto"/>
      </w:divBdr>
    </w:div>
    <w:div w:id="620190605">
      <w:bodyDiv w:val="1"/>
      <w:marLeft w:val="0"/>
      <w:marRight w:val="0"/>
      <w:marTop w:val="0"/>
      <w:marBottom w:val="0"/>
      <w:divBdr>
        <w:top w:val="none" w:sz="0" w:space="0" w:color="auto"/>
        <w:left w:val="none" w:sz="0" w:space="0" w:color="auto"/>
        <w:bottom w:val="none" w:sz="0" w:space="0" w:color="auto"/>
        <w:right w:val="none" w:sz="0" w:space="0" w:color="auto"/>
      </w:divBdr>
      <w:divsChild>
        <w:div w:id="2124642360">
          <w:marLeft w:val="0"/>
          <w:marRight w:val="0"/>
          <w:marTop w:val="0"/>
          <w:marBottom w:val="0"/>
          <w:divBdr>
            <w:top w:val="none" w:sz="0" w:space="0" w:color="auto"/>
            <w:left w:val="none" w:sz="0" w:space="0" w:color="auto"/>
            <w:bottom w:val="none" w:sz="0" w:space="0" w:color="auto"/>
            <w:right w:val="none" w:sz="0" w:space="0" w:color="auto"/>
          </w:divBdr>
          <w:divsChild>
            <w:div w:id="612052925">
              <w:marLeft w:val="0"/>
              <w:marRight w:val="0"/>
              <w:marTop w:val="0"/>
              <w:marBottom w:val="0"/>
              <w:divBdr>
                <w:top w:val="none" w:sz="0" w:space="0" w:color="auto"/>
                <w:left w:val="none" w:sz="0" w:space="0" w:color="auto"/>
                <w:bottom w:val="none" w:sz="0" w:space="0" w:color="auto"/>
                <w:right w:val="none" w:sz="0" w:space="0" w:color="auto"/>
              </w:divBdr>
              <w:divsChild>
                <w:div w:id="108233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08010">
      <w:bodyDiv w:val="1"/>
      <w:marLeft w:val="0"/>
      <w:marRight w:val="0"/>
      <w:marTop w:val="0"/>
      <w:marBottom w:val="0"/>
      <w:divBdr>
        <w:top w:val="none" w:sz="0" w:space="0" w:color="auto"/>
        <w:left w:val="none" w:sz="0" w:space="0" w:color="auto"/>
        <w:bottom w:val="none" w:sz="0" w:space="0" w:color="auto"/>
        <w:right w:val="none" w:sz="0" w:space="0" w:color="auto"/>
      </w:divBdr>
    </w:div>
    <w:div w:id="880943534">
      <w:bodyDiv w:val="1"/>
      <w:marLeft w:val="0"/>
      <w:marRight w:val="0"/>
      <w:marTop w:val="0"/>
      <w:marBottom w:val="0"/>
      <w:divBdr>
        <w:top w:val="none" w:sz="0" w:space="0" w:color="auto"/>
        <w:left w:val="none" w:sz="0" w:space="0" w:color="auto"/>
        <w:bottom w:val="none" w:sz="0" w:space="0" w:color="auto"/>
        <w:right w:val="none" w:sz="0" w:space="0" w:color="auto"/>
      </w:divBdr>
    </w:div>
    <w:div w:id="948927168">
      <w:bodyDiv w:val="1"/>
      <w:marLeft w:val="0"/>
      <w:marRight w:val="0"/>
      <w:marTop w:val="0"/>
      <w:marBottom w:val="0"/>
      <w:divBdr>
        <w:top w:val="none" w:sz="0" w:space="0" w:color="auto"/>
        <w:left w:val="none" w:sz="0" w:space="0" w:color="auto"/>
        <w:bottom w:val="none" w:sz="0" w:space="0" w:color="auto"/>
        <w:right w:val="none" w:sz="0" w:space="0" w:color="auto"/>
      </w:divBdr>
    </w:div>
    <w:div w:id="1044331935">
      <w:bodyDiv w:val="1"/>
      <w:marLeft w:val="0"/>
      <w:marRight w:val="0"/>
      <w:marTop w:val="0"/>
      <w:marBottom w:val="0"/>
      <w:divBdr>
        <w:top w:val="none" w:sz="0" w:space="0" w:color="auto"/>
        <w:left w:val="none" w:sz="0" w:space="0" w:color="auto"/>
        <w:bottom w:val="none" w:sz="0" w:space="0" w:color="auto"/>
        <w:right w:val="none" w:sz="0" w:space="0" w:color="auto"/>
      </w:divBdr>
    </w:div>
    <w:div w:id="1138644316">
      <w:bodyDiv w:val="1"/>
      <w:marLeft w:val="0"/>
      <w:marRight w:val="0"/>
      <w:marTop w:val="0"/>
      <w:marBottom w:val="0"/>
      <w:divBdr>
        <w:top w:val="none" w:sz="0" w:space="0" w:color="auto"/>
        <w:left w:val="none" w:sz="0" w:space="0" w:color="auto"/>
        <w:bottom w:val="none" w:sz="0" w:space="0" w:color="auto"/>
        <w:right w:val="none" w:sz="0" w:space="0" w:color="auto"/>
      </w:divBdr>
    </w:div>
    <w:div w:id="1376811191">
      <w:bodyDiv w:val="1"/>
      <w:marLeft w:val="0"/>
      <w:marRight w:val="0"/>
      <w:marTop w:val="0"/>
      <w:marBottom w:val="0"/>
      <w:divBdr>
        <w:top w:val="none" w:sz="0" w:space="0" w:color="auto"/>
        <w:left w:val="none" w:sz="0" w:space="0" w:color="auto"/>
        <w:bottom w:val="none" w:sz="0" w:space="0" w:color="auto"/>
        <w:right w:val="none" w:sz="0" w:space="0" w:color="auto"/>
      </w:divBdr>
    </w:div>
    <w:div w:id="1403260745">
      <w:bodyDiv w:val="1"/>
      <w:marLeft w:val="0"/>
      <w:marRight w:val="0"/>
      <w:marTop w:val="0"/>
      <w:marBottom w:val="0"/>
      <w:divBdr>
        <w:top w:val="none" w:sz="0" w:space="0" w:color="auto"/>
        <w:left w:val="none" w:sz="0" w:space="0" w:color="auto"/>
        <w:bottom w:val="none" w:sz="0" w:space="0" w:color="auto"/>
        <w:right w:val="none" w:sz="0" w:space="0" w:color="auto"/>
      </w:divBdr>
    </w:div>
    <w:div w:id="1742176168">
      <w:bodyDiv w:val="1"/>
      <w:marLeft w:val="0"/>
      <w:marRight w:val="0"/>
      <w:marTop w:val="0"/>
      <w:marBottom w:val="0"/>
      <w:divBdr>
        <w:top w:val="none" w:sz="0" w:space="0" w:color="auto"/>
        <w:left w:val="none" w:sz="0" w:space="0" w:color="auto"/>
        <w:bottom w:val="none" w:sz="0" w:space="0" w:color="auto"/>
        <w:right w:val="none" w:sz="0" w:space="0" w:color="auto"/>
      </w:divBdr>
    </w:div>
    <w:div w:id="1867983239">
      <w:bodyDiv w:val="1"/>
      <w:marLeft w:val="0"/>
      <w:marRight w:val="0"/>
      <w:marTop w:val="0"/>
      <w:marBottom w:val="0"/>
      <w:divBdr>
        <w:top w:val="none" w:sz="0" w:space="0" w:color="auto"/>
        <w:left w:val="none" w:sz="0" w:space="0" w:color="auto"/>
        <w:bottom w:val="none" w:sz="0" w:space="0" w:color="auto"/>
        <w:right w:val="none" w:sz="0" w:space="0" w:color="auto"/>
      </w:divBdr>
    </w:div>
    <w:div w:id="1925526396">
      <w:bodyDiv w:val="1"/>
      <w:marLeft w:val="0"/>
      <w:marRight w:val="0"/>
      <w:marTop w:val="0"/>
      <w:marBottom w:val="0"/>
      <w:divBdr>
        <w:top w:val="none" w:sz="0" w:space="0" w:color="auto"/>
        <w:left w:val="none" w:sz="0" w:space="0" w:color="auto"/>
        <w:bottom w:val="none" w:sz="0" w:space="0" w:color="auto"/>
        <w:right w:val="none" w:sz="0" w:space="0" w:color="auto"/>
      </w:divBdr>
    </w:div>
    <w:div w:id="1945261470">
      <w:bodyDiv w:val="1"/>
      <w:marLeft w:val="0"/>
      <w:marRight w:val="0"/>
      <w:marTop w:val="0"/>
      <w:marBottom w:val="0"/>
      <w:divBdr>
        <w:top w:val="none" w:sz="0" w:space="0" w:color="auto"/>
        <w:left w:val="none" w:sz="0" w:space="0" w:color="auto"/>
        <w:bottom w:val="none" w:sz="0" w:space="0" w:color="auto"/>
        <w:right w:val="none" w:sz="0" w:space="0" w:color="auto"/>
      </w:divBdr>
    </w:div>
    <w:div w:id="213020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1227</Words>
  <Characters>6994</Characters>
  <Application>Microsoft Office Word</Application>
  <DocSecurity>0</DocSecurity>
  <Lines>58</Lines>
  <Paragraphs>16</Paragraphs>
  <ScaleCrop>false</ScaleCrop>
  <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2018-09-13T12:42:00Z</dcterms:created>
  <dcterms:modified xsi:type="dcterms:W3CDTF">2018-09-13T12:42:00Z</dcterms:modified>
</cp:coreProperties>
</file>