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91055" w14:textId="1D53F026" w:rsidR="000907F2" w:rsidRPr="003E44FA" w:rsidRDefault="000907F2" w:rsidP="000907F2">
      <w:pPr>
        <w:spacing w:after="80"/>
        <w:rPr>
          <w:b/>
          <w:color w:val="000000" w:themeColor="text1"/>
        </w:rPr>
      </w:pPr>
      <w:r w:rsidRPr="003E44FA">
        <w:rPr>
          <w:b/>
          <w:color w:val="000000" w:themeColor="text1"/>
        </w:rPr>
        <w:t xml:space="preserve">Technical Assistance Request </w:t>
      </w:r>
    </w:p>
    <w:p w14:paraId="7924479F" w14:textId="77777777" w:rsidR="000907F2" w:rsidRPr="003E44FA" w:rsidRDefault="000907F2" w:rsidP="000907F2">
      <w:pPr>
        <w:spacing w:after="80"/>
        <w:rPr>
          <w:b/>
          <w:color w:val="000000" w:themeColor="text1"/>
        </w:rPr>
      </w:pPr>
      <w:commentRangeStart w:id="0"/>
      <w:r w:rsidRPr="003E44FA">
        <w:rPr>
          <w:b/>
          <w:color w:val="000000" w:themeColor="text1"/>
        </w:rPr>
        <w:t>Unique</w:t>
      </w:r>
      <w:commentRangeEnd w:id="0"/>
      <w:r w:rsidRPr="003E44FA">
        <w:rPr>
          <w:rStyle w:val="CommentReference"/>
          <w:color w:val="000000" w:themeColor="text1"/>
        </w:rPr>
        <w:commentReference w:id="0"/>
      </w:r>
      <w:r w:rsidRPr="003E44FA">
        <w:rPr>
          <w:b/>
          <w:color w:val="000000" w:themeColor="text1"/>
        </w:rPr>
        <w:t xml:space="preserve"> challenges and needs</w:t>
      </w:r>
    </w:p>
    <w:p w14:paraId="7FDC882F" w14:textId="2DDD81C2" w:rsidR="000907F2" w:rsidRDefault="000907F2" w:rsidP="000907F2">
      <w:pPr>
        <w:spacing w:after="80"/>
        <w:rPr>
          <w:color w:val="000000" w:themeColor="text1"/>
        </w:rPr>
      </w:pPr>
      <w:r w:rsidRPr="003E44FA">
        <w:rPr>
          <w:color w:val="000000" w:themeColor="text1"/>
        </w:rPr>
        <w:t xml:space="preserve">A unique challenge in developing this innovation is to understand </w:t>
      </w:r>
      <w:r w:rsidR="00270E21">
        <w:rPr>
          <w:color w:val="000000" w:themeColor="text1"/>
        </w:rPr>
        <w:t>and</w:t>
      </w:r>
      <w:r w:rsidRPr="003E44FA">
        <w:rPr>
          <w:color w:val="000000" w:themeColor="text1"/>
        </w:rPr>
        <w:t xml:space="preserve"> estimate the cost of manufacture and installation of PV plants built by the new approach. </w:t>
      </w:r>
      <w:r>
        <w:rPr>
          <w:color w:val="000000" w:themeColor="text1"/>
        </w:rPr>
        <w:t>E</w:t>
      </w:r>
      <w:r w:rsidRPr="003E44FA">
        <w:rPr>
          <w:color w:val="000000" w:themeColor="text1"/>
        </w:rPr>
        <w:t>xperience with today’s lowest cost solution at utility scale</w:t>
      </w:r>
      <w:r>
        <w:rPr>
          <w:color w:val="000000" w:themeColor="text1"/>
        </w:rPr>
        <w:t xml:space="preserve"> - </w:t>
      </w:r>
      <w:r w:rsidRPr="003E44FA">
        <w:rPr>
          <w:color w:val="000000" w:themeColor="text1"/>
        </w:rPr>
        <w:t>PV modules on single axis trackers</w:t>
      </w:r>
      <w:r>
        <w:rPr>
          <w:color w:val="000000" w:themeColor="text1"/>
        </w:rPr>
        <w:t xml:space="preserve"> - shows</w:t>
      </w:r>
      <w:r w:rsidRPr="003E44FA">
        <w:rPr>
          <w:color w:val="000000" w:themeColor="text1"/>
        </w:rPr>
        <w:t xml:space="preserve"> that low cost only is achieved at very high volume, </w:t>
      </w:r>
      <w:r>
        <w:rPr>
          <w:color w:val="000000" w:themeColor="text1"/>
        </w:rPr>
        <w:t xml:space="preserve">now </w:t>
      </w:r>
      <w:r w:rsidRPr="003E44FA">
        <w:rPr>
          <w:color w:val="000000" w:themeColor="text1"/>
        </w:rPr>
        <w:t xml:space="preserve">100 GW/year installed globally.  In the Go! phase, once the technical approach has been validated, we </w:t>
      </w:r>
      <w:r>
        <w:rPr>
          <w:color w:val="000000" w:themeColor="text1"/>
        </w:rPr>
        <w:t xml:space="preserve">need </w:t>
      </w:r>
      <w:r w:rsidRPr="003E44FA">
        <w:rPr>
          <w:color w:val="000000" w:themeColor="text1"/>
        </w:rPr>
        <w:t xml:space="preserve">help from industry in obtaining </w:t>
      </w:r>
      <w:r w:rsidR="00270E21">
        <w:rPr>
          <w:color w:val="000000" w:themeColor="text1"/>
        </w:rPr>
        <w:t>estimates of</w:t>
      </w:r>
      <w:r>
        <w:rPr>
          <w:color w:val="000000" w:themeColor="text1"/>
        </w:rPr>
        <w:t xml:space="preserve"> what manufacturing and </w:t>
      </w:r>
      <w:r w:rsidRPr="003E44FA">
        <w:rPr>
          <w:color w:val="000000" w:themeColor="text1"/>
        </w:rPr>
        <w:t xml:space="preserve">installed cost can be expected for the new technology at the same </w:t>
      </w:r>
      <w:r>
        <w:rPr>
          <w:color w:val="000000" w:themeColor="text1"/>
        </w:rPr>
        <w:t xml:space="preserve">high </w:t>
      </w:r>
      <w:r w:rsidRPr="003E44FA">
        <w:rPr>
          <w:color w:val="000000" w:themeColor="text1"/>
        </w:rPr>
        <w:t>rate. We also need to estimate the level of investment and Capex required to reach that rate. We will not have the</w:t>
      </w:r>
      <w:r w:rsidR="00270E21">
        <w:rPr>
          <w:color w:val="000000" w:themeColor="text1"/>
        </w:rPr>
        <w:t xml:space="preserve"> </w:t>
      </w:r>
      <w:r>
        <w:rPr>
          <w:color w:val="000000" w:themeColor="text1"/>
        </w:rPr>
        <w:t xml:space="preserve">previous </w:t>
      </w:r>
      <w:r w:rsidRPr="003E44FA">
        <w:rPr>
          <w:color w:val="000000" w:themeColor="text1"/>
        </w:rPr>
        <w:t xml:space="preserve">luxury of years of energy prices higher than the present $0.025/kWh for PV installations in good sites. </w:t>
      </w:r>
    </w:p>
    <w:p w14:paraId="4A6162CB" w14:textId="77777777" w:rsidR="000907F2" w:rsidRPr="003E44FA" w:rsidRDefault="000907F2" w:rsidP="000907F2">
      <w:pPr>
        <w:spacing w:after="80"/>
        <w:rPr>
          <w:color w:val="000000" w:themeColor="text1"/>
        </w:rPr>
      </w:pPr>
      <w:r w:rsidRPr="003E44FA">
        <w:rPr>
          <w:color w:val="000000" w:themeColor="text1"/>
        </w:rPr>
        <w:t xml:space="preserve">The key elements to be costed are:  </w:t>
      </w:r>
    </w:p>
    <w:p w14:paraId="1517D8FF" w14:textId="77777777" w:rsidR="000907F2" w:rsidRPr="003E44FA" w:rsidRDefault="000907F2" w:rsidP="000907F2">
      <w:pPr>
        <w:spacing w:after="80"/>
        <w:rPr>
          <w:b/>
          <w:bCs/>
          <w:color w:val="000000" w:themeColor="text1"/>
        </w:rPr>
      </w:pPr>
      <w:r w:rsidRPr="003E44FA">
        <w:rPr>
          <w:noProof/>
          <w:color w:val="000000" w:themeColor="text1"/>
        </w:rPr>
        <w:drawing>
          <wp:anchor distT="0" distB="0" distL="114300" distR="114300" simplePos="0" relativeHeight="251698176" behindDoc="1" locked="0" layoutInCell="1" allowOverlap="1" wp14:anchorId="3A38B20F" wp14:editId="2C13AB9D">
            <wp:simplePos x="0" y="0"/>
            <wp:positionH relativeFrom="margin">
              <wp:align>right</wp:align>
            </wp:positionH>
            <wp:positionV relativeFrom="paragraph">
              <wp:posOffset>25400</wp:posOffset>
            </wp:positionV>
            <wp:extent cx="1963420" cy="937895"/>
            <wp:effectExtent l="0" t="0" r="0" b="0"/>
            <wp:wrapTight wrapText="bothSides">
              <wp:wrapPolygon edited="0">
                <wp:start x="0" y="0"/>
                <wp:lineTo x="0" y="21059"/>
                <wp:lineTo x="21376" y="21059"/>
                <wp:lineTo x="2137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3480"/>
                    <a:stretch/>
                  </pic:blipFill>
                  <pic:spPr bwMode="auto">
                    <a:xfrm>
                      <a:off x="0" y="0"/>
                      <a:ext cx="1963420" cy="937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44FA">
        <w:rPr>
          <w:b/>
          <w:bCs/>
          <w:color w:val="000000" w:themeColor="text1"/>
        </w:rPr>
        <w:t>Manufacture of glass sheets imprinted with lens arrays:</w:t>
      </w:r>
    </w:p>
    <w:p w14:paraId="4EEC5A8B" w14:textId="77777777" w:rsidR="000907F2" w:rsidRPr="003E44FA" w:rsidRDefault="000907F2" w:rsidP="000907F2">
      <w:pPr>
        <w:spacing w:after="80"/>
        <w:rPr>
          <w:bCs/>
          <w:color w:val="000000" w:themeColor="text1"/>
        </w:rPr>
      </w:pPr>
      <w:r>
        <w:rPr>
          <w:bCs/>
          <w:color w:val="000000" w:themeColor="text1"/>
        </w:rPr>
        <w:t>Our</w:t>
      </w:r>
      <w:r w:rsidRPr="003E44FA">
        <w:rPr>
          <w:bCs/>
          <w:color w:val="000000" w:themeColor="text1"/>
        </w:rPr>
        <w:t xml:space="preserve"> innovative approach involves use of a modified glass entrance sheet that efficiently separates the direct sunlight and diffuse sky components of solar energy entering the hybrid module. The sheet should be the size of a standard PV module, 1 m x 2 m, and be molded on the lower side into a seamless array of 55 x 110 lenses.  The challenge is to identify a process of manufacture with the potential for extension to manufacture at the very high volume currently produced for present PV modules, i.e. close to 250 km</w:t>
      </w:r>
      <w:r w:rsidRPr="00270E21">
        <w:rPr>
          <w:bCs/>
          <w:color w:val="000000" w:themeColor="text1"/>
          <w:vertAlign w:val="superscript"/>
        </w:rPr>
        <w:t>2</w:t>
      </w:r>
      <w:r w:rsidRPr="003E44FA">
        <w:rPr>
          <w:bCs/>
          <w:color w:val="000000" w:themeColor="text1"/>
        </w:rPr>
        <w:t>/year globally, requiring around 15 standard float glass factories devoted to making lens array glass. At this volume, the added cost for the molding should be no more than a few $/m</w:t>
      </w:r>
      <w:r w:rsidRPr="00024F74">
        <w:rPr>
          <w:bCs/>
          <w:color w:val="000000" w:themeColor="text1"/>
          <w:vertAlign w:val="superscript"/>
        </w:rPr>
        <w:t>2</w:t>
      </w:r>
      <w:r w:rsidRPr="003E44FA">
        <w:rPr>
          <w:bCs/>
          <w:color w:val="000000" w:themeColor="text1"/>
        </w:rPr>
        <w:t xml:space="preserve"> ($0.01/W) to the base float glass cost of around $10/m</w:t>
      </w:r>
      <w:r w:rsidRPr="003E44FA">
        <w:rPr>
          <w:bCs/>
          <w:color w:val="000000" w:themeColor="text1"/>
          <w:vertAlign w:val="superscript"/>
        </w:rPr>
        <w:t>2</w:t>
      </w:r>
      <w:r w:rsidRPr="003E44FA">
        <w:rPr>
          <w:bCs/>
          <w:color w:val="000000" w:themeColor="text1"/>
        </w:rPr>
        <w:t xml:space="preserve">.     </w:t>
      </w:r>
    </w:p>
    <w:p w14:paraId="5C5A7144" w14:textId="77777777" w:rsidR="000907F2" w:rsidRPr="003E44FA" w:rsidRDefault="000907F2" w:rsidP="000907F2">
      <w:pPr>
        <w:spacing w:after="80"/>
        <w:rPr>
          <w:b/>
          <w:color w:val="000000" w:themeColor="text1"/>
        </w:rPr>
      </w:pPr>
      <w:r w:rsidRPr="003E44FA">
        <w:rPr>
          <w:b/>
          <w:color w:val="000000" w:themeColor="text1"/>
        </w:rPr>
        <w:t>Multijunction Cells</w:t>
      </w:r>
    </w:p>
    <w:p w14:paraId="14B837B0" w14:textId="1E037C37" w:rsidR="000907F2" w:rsidRPr="003E44FA" w:rsidRDefault="000907F2" w:rsidP="000907F2">
      <w:pPr>
        <w:spacing w:after="80"/>
        <w:rPr>
          <w:rFonts w:ascii="Times New Roman" w:eastAsia="Times New Roman" w:hAnsi="Times New Roman" w:cs="Times New Roman"/>
          <w:color w:val="000000" w:themeColor="text1"/>
        </w:rPr>
      </w:pPr>
      <w:r w:rsidRPr="003E44FA">
        <w:rPr>
          <w:noProof/>
          <w:color w:val="000000" w:themeColor="text1"/>
        </w:rPr>
        <w:drawing>
          <wp:anchor distT="0" distB="0" distL="114300" distR="114300" simplePos="0" relativeHeight="251700224" behindDoc="1" locked="0" layoutInCell="1" allowOverlap="1" wp14:anchorId="09AB686D" wp14:editId="0FD1CE87">
            <wp:simplePos x="0" y="0"/>
            <wp:positionH relativeFrom="margin">
              <wp:align>right</wp:align>
            </wp:positionH>
            <wp:positionV relativeFrom="paragraph">
              <wp:posOffset>285750</wp:posOffset>
            </wp:positionV>
            <wp:extent cx="2555240" cy="2381250"/>
            <wp:effectExtent l="0" t="0" r="0" b="0"/>
            <wp:wrapTight wrapText="bothSides">
              <wp:wrapPolygon edited="0">
                <wp:start x="0" y="0"/>
                <wp:lineTo x="0" y="21427"/>
                <wp:lineTo x="21417" y="21427"/>
                <wp:lineTo x="2141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898"/>
                    <a:stretch/>
                  </pic:blipFill>
                  <pic:spPr bwMode="auto">
                    <a:xfrm>
                      <a:off x="0" y="0"/>
                      <a:ext cx="2555240"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44FA">
        <w:rPr>
          <w:color w:val="000000" w:themeColor="text1"/>
        </w:rPr>
        <w:t xml:space="preserve">Multijunction cells are used to convert the sunlight brought to </w:t>
      </w:r>
      <w:r>
        <w:rPr>
          <w:color w:val="000000" w:themeColor="text1"/>
        </w:rPr>
        <w:t>500</w:t>
      </w:r>
      <w:r w:rsidRPr="003E44FA">
        <w:rPr>
          <w:color w:val="000000" w:themeColor="text1"/>
        </w:rPr>
        <w:t xml:space="preserve">x concentration spot by each glass lens of the array.  The cells will be about 0.8 mm x 0.8 mm square. </w:t>
      </w:r>
      <w:r>
        <w:rPr>
          <w:color w:val="000000" w:themeColor="text1"/>
        </w:rPr>
        <w:t xml:space="preserve">Our target for </w:t>
      </w:r>
      <w:r w:rsidRPr="003E44FA">
        <w:rPr>
          <w:color w:val="000000" w:themeColor="text1"/>
        </w:rPr>
        <w:t xml:space="preserve">conversion efficiency </w:t>
      </w:r>
      <w:r>
        <w:rPr>
          <w:color w:val="000000" w:themeColor="text1"/>
        </w:rPr>
        <w:t xml:space="preserve">is </w:t>
      </w:r>
      <w:r w:rsidRPr="003E44FA">
        <w:rPr>
          <w:color w:val="000000" w:themeColor="text1"/>
        </w:rPr>
        <w:t xml:space="preserve">50% </w:t>
      </w:r>
      <w:r>
        <w:rPr>
          <w:color w:val="000000" w:themeColor="text1"/>
        </w:rPr>
        <w:t xml:space="preserve">as is projected for </w:t>
      </w:r>
      <w:r w:rsidRPr="003E44FA">
        <w:rPr>
          <w:color w:val="000000" w:themeColor="text1"/>
        </w:rPr>
        <w:t>6J cells. The 2019 world record, held by NREL, is 47% with a 6J cell.  The total cell area for 500x concentration is 1/500 that of the lens arrays and silicon modules, i.e. around 500,000 m</w:t>
      </w:r>
      <w:r w:rsidRPr="003E44FA">
        <w:rPr>
          <w:color w:val="000000" w:themeColor="text1"/>
          <w:vertAlign w:val="superscript"/>
        </w:rPr>
        <w:t>2</w:t>
      </w:r>
      <w:r w:rsidRPr="003E44FA">
        <w:rPr>
          <w:color w:val="000000" w:themeColor="text1"/>
        </w:rPr>
        <w:t xml:space="preserve"> annually. We would welcome assistance from industry and NREL in estimating the cost that can be expected in such high volume.  </w:t>
      </w:r>
      <w:r>
        <w:rPr>
          <w:color w:val="000000" w:themeColor="text1"/>
        </w:rPr>
        <w:t xml:space="preserve">Our targeted cost for the </w:t>
      </w:r>
      <w:r w:rsidRPr="003E44FA">
        <w:rPr>
          <w:color w:val="000000" w:themeColor="text1"/>
        </w:rPr>
        <w:t>multijunction c</w:t>
      </w:r>
      <w:r w:rsidRPr="003E44FA">
        <w:rPr>
          <w:rFonts w:eastAsiaTheme="minorEastAsia" w:hAnsi="Calibri"/>
          <w:color w:val="000000" w:themeColor="text1"/>
          <w:kern w:val="24"/>
        </w:rPr>
        <w:t xml:space="preserve">ells in this very high volume </w:t>
      </w:r>
      <w:r>
        <w:rPr>
          <w:rFonts w:eastAsiaTheme="minorEastAsia" w:hAnsi="Calibri"/>
          <w:color w:val="000000" w:themeColor="text1"/>
          <w:kern w:val="24"/>
        </w:rPr>
        <w:t xml:space="preserve">is </w:t>
      </w:r>
      <w:r w:rsidRPr="003E44FA">
        <w:rPr>
          <w:rFonts w:eastAsiaTheme="minorEastAsia" w:hAnsi="Calibri"/>
          <w:color w:val="000000" w:themeColor="text1"/>
          <w:kern w:val="24"/>
        </w:rPr>
        <w:t>$10,000/m</w:t>
      </w:r>
      <w:r w:rsidRPr="003E44FA">
        <w:rPr>
          <w:rFonts w:eastAsiaTheme="minorEastAsia" w:hAnsi="Calibri"/>
          <w:color w:val="000000" w:themeColor="text1"/>
          <w:kern w:val="24"/>
          <w:vertAlign w:val="superscript"/>
        </w:rPr>
        <w:t>2</w:t>
      </w:r>
      <w:r w:rsidRPr="003E44FA">
        <w:rPr>
          <w:rFonts w:eastAsiaTheme="minorEastAsia" w:hAnsi="Calibri"/>
          <w:color w:val="000000" w:themeColor="text1"/>
          <w:kern w:val="24"/>
        </w:rPr>
        <w:t>, as projected by</w:t>
      </w:r>
      <w:r w:rsidR="00110854">
        <w:rPr>
          <w:rFonts w:eastAsiaTheme="minorEastAsia" w:hAnsi="Calibri"/>
          <w:color w:val="000000" w:themeColor="text1"/>
          <w:kern w:val="24"/>
        </w:rPr>
        <w:t xml:space="preserve"> the</w:t>
      </w:r>
      <w:r w:rsidRPr="003E44FA">
        <w:rPr>
          <w:rFonts w:eastAsiaTheme="minorEastAsia" w:hAnsi="Calibri"/>
          <w:color w:val="000000" w:themeColor="text1"/>
          <w:kern w:val="24"/>
        </w:rPr>
        <w:t xml:space="preserve"> s</w:t>
      </w:r>
      <w:r w:rsidRPr="003E44FA">
        <w:rPr>
          <w:rFonts w:ascii="Calibri" w:eastAsia="Times New Roman" w:hAnsi="Calibri"/>
          <w:color w:val="000000" w:themeColor="text1"/>
          <w:kern w:val="24"/>
        </w:rPr>
        <w:t>ubstrate reuse/lift-off approach of NREL</w:t>
      </w:r>
      <w:r>
        <w:rPr>
          <w:rFonts w:ascii="Calibri" w:eastAsia="Times New Roman" w:hAnsi="Calibri"/>
          <w:color w:val="000000" w:themeColor="text1"/>
          <w:kern w:val="24"/>
        </w:rPr>
        <w:t>. T</w:t>
      </w:r>
      <w:r w:rsidRPr="003E44FA">
        <w:rPr>
          <w:rFonts w:ascii="Calibri" w:eastAsia="Times New Roman" w:hAnsi="Calibri"/>
          <w:color w:val="000000" w:themeColor="text1"/>
          <w:kern w:val="24"/>
        </w:rPr>
        <w:t>his translates to $0.05/W, one fifth silicon module cost</w:t>
      </w:r>
      <w:r>
        <w:rPr>
          <w:rFonts w:ascii="Calibri" w:eastAsia="Times New Roman" w:hAnsi="Calibri"/>
          <w:color w:val="000000" w:themeColor="text1"/>
          <w:kern w:val="24"/>
        </w:rPr>
        <w:t xml:space="preserve"> per watt. </w:t>
      </w:r>
    </w:p>
    <w:p w14:paraId="7A3D29AF" w14:textId="77777777" w:rsidR="000907F2" w:rsidRPr="003E44FA" w:rsidRDefault="000907F2" w:rsidP="000907F2">
      <w:pPr>
        <w:spacing w:after="80"/>
        <w:rPr>
          <w:color w:val="000000" w:themeColor="text1"/>
        </w:rPr>
      </w:pPr>
      <w:r>
        <w:rPr>
          <w:noProof/>
          <w:color w:val="000000" w:themeColor="text1"/>
        </w:rPr>
        <w:lastRenderedPageBreak/>
        <mc:AlternateContent>
          <mc:Choice Requires="wps">
            <w:drawing>
              <wp:anchor distT="0" distB="0" distL="114300" distR="114300" simplePos="0" relativeHeight="251701248" behindDoc="0" locked="0" layoutInCell="1" allowOverlap="1" wp14:anchorId="7EECDBF8" wp14:editId="5FBFAB82">
                <wp:simplePos x="0" y="0"/>
                <wp:positionH relativeFrom="column">
                  <wp:posOffset>4862830</wp:posOffset>
                </wp:positionH>
                <wp:positionV relativeFrom="paragraph">
                  <wp:posOffset>148243</wp:posOffset>
                </wp:positionV>
                <wp:extent cx="486889" cy="480951"/>
                <wp:effectExtent l="0" t="0" r="27940" b="14605"/>
                <wp:wrapNone/>
                <wp:docPr id="6" name="Oval 6"/>
                <wp:cNvGraphicFramePr/>
                <a:graphic xmlns:a="http://schemas.openxmlformats.org/drawingml/2006/main">
                  <a:graphicData uri="http://schemas.microsoft.com/office/word/2010/wordprocessingShape">
                    <wps:wsp>
                      <wps:cNvSpPr/>
                      <wps:spPr>
                        <a:xfrm>
                          <a:off x="0" y="0"/>
                          <a:ext cx="486889" cy="480951"/>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1330B00" id="Oval 6" o:spid="_x0000_s1026" style="position:absolute;margin-left:382.9pt;margin-top:11.65pt;width:38.35pt;height:37.8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" filled="f" strokecolor="#41719c" strokeweight="1pt">
                <v:stroke joinstyle="miter"/>
              </v:oval>
            </w:pict>
          </mc:Fallback>
        </mc:AlternateContent>
      </w:r>
      <w:r w:rsidRPr="003E44FA">
        <w:rPr>
          <w:noProof/>
          <w:color w:val="000000" w:themeColor="text1"/>
        </w:rPr>
        <w:drawing>
          <wp:inline distT="0" distB="0" distL="0" distR="0" wp14:anchorId="57238227" wp14:editId="0844E98A">
            <wp:extent cx="5682568" cy="2726370"/>
            <wp:effectExtent l="0" t="0" r="0" b="0"/>
            <wp:docPr id="29" name="Picture 1" descr="Chart of PV research-cell efficiency versus years, with 24 curves that all start low to the left and rise approximately linearly to the upper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of PV research-cell efficiency versus years, with 24 curves that all start low to the left and rise approximately linearly to the upper right"/>
                    <pic:cNvPicPr>
                      <a:picLocks noChangeAspect="1" noChangeArrowheads="1"/>
                    </pic:cNvPicPr>
                  </pic:nvPicPr>
                  <pic:blipFill rotWithShape="1">
                    <a:blip r:embed="rId12">
                      <a:extLst>
                        <a:ext uri="{28A0092B-C50C-407E-A947-70E740481C1C}">
                          <a14:useLocalDpi xmlns:a14="http://schemas.microsoft.com/office/drawing/2010/main" val="0"/>
                        </a:ext>
                      </a:extLst>
                    </a:blip>
                    <a:srcRect t="1775"/>
                    <a:stretch/>
                  </pic:blipFill>
                  <pic:spPr bwMode="auto">
                    <a:xfrm>
                      <a:off x="0" y="0"/>
                      <a:ext cx="5708616" cy="2738867"/>
                    </a:xfrm>
                    <a:prstGeom prst="rect">
                      <a:avLst/>
                    </a:prstGeom>
                    <a:noFill/>
                    <a:ln>
                      <a:noFill/>
                    </a:ln>
                    <a:extLst>
                      <a:ext uri="{53640926-AAD7-44D8-BBD7-CCE9431645EC}">
                        <a14:shadowObscured xmlns:a14="http://schemas.microsoft.com/office/drawing/2010/main"/>
                      </a:ext>
                    </a:extLst>
                  </pic:spPr>
                </pic:pic>
              </a:graphicData>
            </a:graphic>
          </wp:inline>
        </w:drawing>
      </w:r>
    </w:p>
    <w:p w14:paraId="17751B1C" w14:textId="77777777" w:rsidR="000907F2" w:rsidRPr="003E44FA" w:rsidRDefault="000907F2" w:rsidP="000907F2">
      <w:pPr>
        <w:spacing w:after="80"/>
        <w:rPr>
          <w:color w:val="000000" w:themeColor="text1"/>
        </w:rPr>
      </w:pPr>
    </w:p>
    <w:p w14:paraId="029DB075" w14:textId="77777777" w:rsidR="000907F2" w:rsidRPr="003E44FA" w:rsidRDefault="000907F2" w:rsidP="000907F2">
      <w:pPr>
        <w:spacing w:after="80"/>
        <w:rPr>
          <w:color w:val="000000" w:themeColor="text1"/>
        </w:rPr>
      </w:pPr>
      <w:r>
        <w:rPr>
          <w:b/>
          <w:color w:val="000000" w:themeColor="text1"/>
        </w:rPr>
        <w:t>Cell connections and assembly</w:t>
      </w:r>
    </w:p>
    <w:p w14:paraId="76871D37" w14:textId="77777777" w:rsidR="000907F2" w:rsidRDefault="000907F2" w:rsidP="000907F2">
      <w:pPr>
        <w:spacing w:after="80"/>
        <w:rPr>
          <w:color w:val="000000" w:themeColor="text1"/>
        </w:rPr>
      </w:pPr>
      <w:r w:rsidRPr="003E44FA">
        <w:rPr>
          <w:color w:val="000000" w:themeColor="text1"/>
        </w:rPr>
        <w:t xml:space="preserve">A critical requirement for low cost mass production of the hybrid cells to be investigated in the Go! phase will be an automated method for placement in an array of the many tiny MJ cells onto standard 6” silicon wafer.  We plan to work with major US silicon cell manufacturers such as Sunpower to develop and cost the </w:t>
      </w:r>
      <w:r>
        <w:rPr>
          <w:color w:val="000000" w:themeColor="text1"/>
        </w:rPr>
        <w:t xml:space="preserve">automated </w:t>
      </w:r>
      <w:r w:rsidRPr="003E44FA">
        <w:rPr>
          <w:color w:val="000000" w:themeColor="text1"/>
        </w:rPr>
        <w:t>assembly concept.</w:t>
      </w:r>
    </w:p>
    <w:p w14:paraId="3878C756" w14:textId="77777777" w:rsidR="000907F2" w:rsidRPr="003E44FA" w:rsidRDefault="000907F2" w:rsidP="000907F2">
      <w:pPr>
        <w:spacing w:after="80"/>
        <w:rPr>
          <w:color w:val="000000" w:themeColor="text1"/>
        </w:rPr>
      </w:pPr>
    </w:p>
    <w:p w14:paraId="0C83FE7E" w14:textId="2BB4D8D6" w:rsidR="000907F2" w:rsidRPr="003E44FA" w:rsidRDefault="000907F2" w:rsidP="000907F2">
      <w:pPr>
        <w:spacing w:after="80"/>
        <w:rPr>
          <w:color w:val="000000" w:themeColor="text1"/>
        </w:rPr>
      </w:pPr>
      <w:r w:rsidRPr="003E44FA">
        <w:rPr>
          <w:rFonts w:ascii="Arial" w:hAnsi="Arial" w:cs="Arial"/>
          <w:noProof/>
          <w:color w:val="000000" w:themeColor="text1"/>
          <w:sz w:val="20"/>
          <w:szCs w:val="20"/>
          <w:bdr w:val="none" w:sz="0" w:space="0" w:color="auto" w:frame="1"/>
        </w:rPr>
        <w:drawing>
          <wp:anchor distT="0" distB="0" distL="114300" distR="114300" simplePos="0" relativeHeight="251699200" behindDoc="1" locked="0" layoutInCell="1" allowOverlap="1" wp14:anchorId="56BFFEAA" wp14:editId="1E99AE0E">
            <wp:simplePos x="0" y="0"/>
            <wp:positionH relativeFrom="margin">
              <wp:posOffset>2254885</wp:posOffset>
            </wp:positionH>
            <wp:positionV relativeFrom="paragraph">
              <wp:posOffset>9525</wp:posOffset>
            </wp:positionV>
            <wp:extent cx="3680460" cy="2451100"/>
            <wp:effectExtent l="0" t="0" r="0" b="6350"/>
            <wp:wrapTight wrapText="bothSides">
              <wp:wrapPolygon edited="0">
                <wp:start x="0" y="0"/>
                <wp:lineTo x="0" y="21488"/>
                <wp:lineTo x="21466" y="21488"/>
                <wp:lineTo x="21466" y="0"/>
                <wp:lineTo x="0" y="0"/>
              </wp:wrapPolygon>
            </wp:wrapTight>
            <wp:docPr id="28" name="Picture 28" descr="Image result for crescent dunes heliostat array">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rescent dunes heliostat array">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0460" cy="245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44FA">
        <w:rPr>
          <w:b/>
          <w:color w:val="000000" w:themeColor="text1"/>
        </w:rPr>
        <w:t>Dual axis trackers</w:t>
      </w:r>
      <w:r w:rsidRPr="003E44FA">
        <w:rPr>
          <w:color w:val="000000" w:themeColor="text1"/>
        </w:rPr>
        <w:t xml:space="preserve">. Dual axis trackers are used widely in heliostats for power tower CSP, and there is current </w:t>
      </w:r>
      <w:r>
        <w:rPr>
          <w:color w:val="000000" w:themeColor="text1"/>
        </w:rPr>
        <w:t xml:space="preserve">support from </w:t>
      </w:r>
      <w:r w:rsidRPr="003E44FA">
        <w:rPr>
          <w:color w:val="000000" w:themeColor="text1"/>
        </w:rPr>
        <w:t>the DOE in reducing heliostat prices from the current installed cost of $140/m</w:t>
      </w:r>
      <w:r w:rsidRPr="00024F74">
        <w:rPr>
          <w:color w:val="000000" w:themeColor="text1"/>
          <w:vertAlign w:val="superscript"/>
        </w:rPr>
        <w:t>2</w:t>
      </w:r>
      <w:r w:rsidRPr="003E44FA">
        <w:rPr>
          <w:color w:val="000000" w:themeColor="text1"/>
        </w:rPr>
        <w:t xml:space="preserve"> to $50/m</w:t>
      </w:r>
      <w:r w:rsidRPr="00024F74">
        <w:rPr>
          <w:color w:val="000000" w:themeColor="text1"/>
          <w:vertAlign w:val="superscript"/>
        </w:rPr>
        <w:t>2</w:t>
      </w:r>
      <w:r w:rsidRPr="003E44FA">
        <w:rPr>
          <w:color w:val="000000" w:themeColor="text1"/>
        </w:rPr>
        <w:t xml:space="preserve">. For our hybrid modules with 40% efficiency, the lower rate corresponds to $0.125/watt, little more than standard mounting cost for single axis trackers. In the </w:t>
      </w:r>
      <w:r>
        <w:rPr>
          <w:color w:val="000000" w:themeColor="text1"/>
        </w:rPr>
        <w:t xml:space="preserve">Ready! and </w:t>
      </w:r>
      <w:r w:rsidRPr="003E44FA">
        <w:rPr>
          <w:color w:val="000000" w:themeColor="text1"/>
        </w:rPr>
        <w:t>Go! phase</w:t>
      </w:r>
      <w:r>
        <w:rPr>
          <w:color w:val="000000" w:themeColor="text1"/>
        </w:rPr>
        <w:t>s</w:t>
      </w:r>
      <w:r w:rsidRPr="003E44FA">
        <w:rPr>
          <w:color w:val="000000" w:themeColor="text1"/>
        </w:rPr>
        <w:t xml:space="preserve">, we </w:t>
      </w:r>
      <w:r>
        <w:rPr>
          <w:color w:val="000000" w:themeColor="text1"/>
        </w:rPr>
        <w:t>look forward to</w:t>
      </w:r>
      <w:r w:rsidRPr="003E44FA">
        <w:rPr>
          <w:color w:val="000000" w:themeColor="text1"/>
        </w:rPr>
        <w:t xml:space="preserve"> working with  Sandia National Labs as well as US manufacturers of solar single axis trackers</w:t>
      </w:r>
      <w:r>
        <w:rPr>
          <w:color w:val="000000" w:themeColor="text1"/>
        </w:rPr>
        <w:t xml:space="preserve"> to understand the expected cost reduction from </w:t>
      </w:r>
      <w:r w:rsidRPr="003E44FA">
        <w:rPr>
          <w:color w:val="000000" w:themeColor="text1"/>
        </w:rPr>
        <w:t>new approaches to reducing dual axis tracker cost</w:t>
      </w:r>
      <w:r>
        <w:rPr>
          <w:color w:val="000000" w:themeColor="text1"/>
        </w:rPr>
        <w:t>. We note that the pointing tolerance we need of 0.2 degrees pla</w:t>
      </w:r>
      <w:r w:rsidR="00074B11">
        <w:rPr>
          <w:color w:val="000000" w:themeColor="text1"/>
        </w:rPr>
        <w:t>ces less demand on accuracy than</w:t>
      </w:r>
      <w:r>
        <w:rPr>
          <w:color w:val="000000" w:themeColor="text1"/>
        </w:rPr>
        <w:t xml:space="preserve"> for heliostats. </w:t>
      </w:r>
    </w:p>
    <w:p w14:paraId="3EC6EFDB" w14:textId="77777777" w:rsidR="000907F2" w:rsidRPr="003E44FA" w:rsidRDefault="000907F2" w:rsidP="000907F2">
      <w:pPr>
        <w:spacing w:after="80"/>
        <w:rPr>
          <w:b/>
          <w:color w:val="000000" w:themeColor="text1"/>
        </w:rPr>
      </w:pPr>
      <w:r w:rsidRPr="003E44FA">
        <w:rPr>
          <w:b/>
          <w:color w:val="000000" w:themeColor="text1"/>
        </w:rPr>
        <w:t xml:space="preserve">Full system cost analysis. </w:t>
      </w:r>
    </w:p>
    <w:p w14:paraId="2058F776" w14:textId="38413089" w:rsidR="008269A1" w:rsidRPr="003049A4" w:rsidRDefault="000907F2" w:rsidP="003049A4">
      <w:pPr>
        <w:spacing w:after="80"/>
        <w:rPr>
          <w:color w:val="000000" w:themeColor="text1"/>
        </w:rPr>
      </w:pPr>
      <w:r w:rsidRPr="003E44FA">
        <w:rPr>
          <w:color w:val="000000" w:themeColor="text1"/>
        </w:rPr>
        <w:t xml:space="preserve">Here we will also look to the NREL techno-economic analysis team to help develop an overall costing for the new hybrid approach, from component </w:t>
      </w:r>
      <w:r w:rsidR="003049A4">
        <w:rPr>
          <w:color w:val="000000" w:themeColor="text1"/>
        </w:rPr>
        <w:t>costs to installation to LCOE.</w:t>
      </w:r>
      <w:bookmarkStart w:id="1" w:name="_GoBack"/>
      <w:bookmarkEnd w:id="1"/>
    </w:p>
    <w:sectPr w:rsidR="008269A1" w:rsidRPr="003049A4">
      <w:footerReference w:type="default" r:id="rId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ngel, J Roger P - (angelj)" w:date="2019-07-14T15:01:00Z" w:initials="AJRP-(">
    <w:p w14:paraId="08B710F4" w14:textId="77777777" w:rsidR="000907F2" w:rsidRDefault="000907F2" w:rsidP="000907F2">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B710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B9B131" w16cid:durableId="20D5F9B4"/>
  <w16cid:commentId w16cid:paraId="10FE281E" w16cid:durableId="20D7602C"/>
  <w16cid:commentId w16cid:paraId="442CEDCC" w16cid:durableId="20D5F9B6"/>
  <w16cid:commentId w16cid:paraId="1FCDCE86" w16cid:durableId="20D7602E"/>
  <w16cid:commentId w16cid:paraId="08BDFAF8" w16cid:durableId="20D76FA3"/>
  <w16cid:commentId w16cid:paraId="0CEA8DFA" w16cid:durableId="20D5F9BA"/>
  <w16cid:commentId w16cid:paraId="4808A343" w16cid:durableId="20D5F9BB"/>
  <w16cid:commentId w16cid:paraId="3C5BE9AB" w16cid:durableId="20D77AFF"/>
  <w16cid:commentId w16cid:paraId="5BB35672" w16cid:durableId="20D61E0A"/>
  <w16cid:commentId w16cid:paraId="307ED303" w16cid:durableId="20D7E2AA"/>
  <w16cid:commentId w16cid:paraId="4883712D" w16cid:durableId="20D7E283"/>
  <w16cid:commentId w16cid:paraId="63A9EAA2" w16cid:durableId="20D7E2CA"/>
  <w16cid:commentId w16cid:paraId="6ACF4AFC" w16cid:durableId="20D5F9BC"/>
  <w16cid:commentId w16cid:paraId="08B710F4" w16cid:durableId="20D5F9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4660F" w14:textId="77777777" w:rsidR="0042107A" w:rsidRDefault="0042107A" w:rsidP="005A208D">
      <w:pPr>
        <w:spacing w:after="0" w:line="240" w:lineRule="auto"/>
      </w:pPr>
      <w:r>
        <w:separator/>
      </w:r>
    </w:p>
  </w:endnote>
  <w:endnote w:type="continuationSeparator" w:id="0">
    <w:p w14:paraId="47FAA492" w14:textId="77777777" w:rsidR="0042107A" w:rsidRDefault="0042107A" w:rsidP="005A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9048600"/>
      <w:docPartObj>
        <w:docPartGallery w:val="Page Numbers (Bottom of Page)"/>
        <w:docPartUnique/>
      </w:docPartObj>
    </w:sdtPr>
    <w:sdtEndPr>
      <w:rPr>
        <w:noProof/>
      </w:rPr>
    </w:sdtEndPr>
    <w:sdtContent>
      <w:p w14:paraId="61086995" w14:textId="037E0CC8" w:rsidR="00527CA1" w:rsidRDefault="00527CA1">
        <w:pPr>
          <w:pStyle w:val="Footer"/>
          <w:jc w:val="right"/>
        </w:pPr>
        <w:r>
          <w:fldChar w:fldCharType="begin"/>
        </w:r>
        <w:r>
          <w:instrText xml:space="preserve"> PAGE   \* MERGEFORMAT </w:instrText>
        </w:r>
        <w:r>
          <w:fldChar w:fldCharType="separate"/>
        </w:r>
        <w:r w:rsidR="003B3089">
          <w:rPr>
            <w:noProof/>
          </w:rPr>
          <w:t>2</w:t>
        </w:r>
        <w:r>
          <w:rPr>
            <w:noProof/>
          </w:rPr>
          <w:fldChar w:fldCharType="end"/>
        </w:r>
      </w:p>
    </w:sdtContent>
  </w:sdt>
  <w:p w14:paraId="77D05D64" w14:textId="77777777" w:rsidR="00527CA1" w:rsidRDefault="00527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7A52D8" w14:textId="77777777" w:rsidR="0042107A" w:rsidRDefault="0042107A" w:rsidP="005A208D">
      <w:pPr>
        <w:spacing w:after="0" w:line="240" w:lineRule="auto"/>
      </w:pPr>
      <w:r>
        <w:separator/>
      </w:r>
    </w:p>
  </w:footnote>
  <w:footnote w:type="continuationSeparator" w:id="0">
    <w:p w14:paraId="28AF33C2" w14:textId="77777777" w:rsidR="0042107A" w:rsidRDefault="0042107A" w:rsidP="005A20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34D41"/>
    <w:multiLevelType w:val="hybridMultilevel"/>
    <w:tmpl w:val="F8BA91AC"/>
    <w:lvl w:ilvl="0" w:tplc="ED5A599C">
      <w:start w:val="1"/>
      <w:numFmt w:val="bullet"/>
      <w:lvlText w:val="•"/>
      <w:lvlJc w:val="left"/>
      <w:pPr>
        <w:tabs>
          <w:tab w:val="num" w:pos="720"/>
        </w:tabs>
        <w:ind w:left="720" w:hanging="360"/>
      </w:pPr>
      <w:rPr>
        <w:rFonts w:ascii="Arial" w:hAnsi="Arial" w:hint="default"/>
      </w:rPr>
    </w:lvl>
    <w:lvl w:ilvl="1" w:tplc="432C7236">
      <w:start w:val="1"/>
      <w:numFmt w:val="bullet"/>
      <w:lvlText w:val="•"/>
      <w:lvlJc w:val="left"/>
      <w:pPr>
        <w:tabs>
          <w:tab w:val="num" w:pos="1440"/>
        </w:tabs>
        <w:ind w:left="1440" w:hanging="360"/>
      </w:pPr>
      <w:rPr>
        <w:rFonts w:ascii="Arial" w:hAnsi="Arial" w:hint="default"/>
      </w:rPr>
    </w:lvl>
    <w:lvl w:ilvl="2" w:tplc="EAFA2684" w:tentative="1">
      <w:start w:val="1"/>
      <w:numFmt w:val="bullet"/>
      <w:lvlText w:val="•"/>
      <w:lvlJc w:val="left"/>
      <w:pPr>
        <w:tabs>
          <w:tab w:val="num" w:pos="2160"/>
        </w:tabs>
        <w:ind w:left="2160" w:hanging="360"/>
      </w:pPr>
      <w:rPr>
        <w:rFonts w:ascii="Arial" w:hAnsi="Arial" w:hint="default"/>
      </w:rPr>
    </w:lvl>
    <w:lvl w:ilvl="3" w:tplc="126C0B9C" w:tentative="1">
      <w:start w:val="1"/>
      <w:numFmt w:val="bullet"/>
      <w:lvlText w:val="•"/>
      <w:lvlJc w:val="left"/>
      <w:pPr>
        <w:tabs>
          <w:tab w:val="num" w:pos="2880"/>
        </w:tabs>
        <w:ind w:left="2880" w:hanging="360"/>
      </w:pPr>
      <w:rPr>
        <w:rFonts w:ascii="Arial" w:hAnsi="Arial" w:hint="default"/>
      </w:rPr>
    </w:lvl>
    <w:lvl w:ilvl="4" w:tplc="DDA6BED4" w:tentative="1">
      <w:start w:val="1"/>
      <w:numFmt w:val="bullet"/>
      <w:lvlText w:val="•"/>
      <w:lvlJc w:val="left"/>
      <w:pPr>
        <w:tabs>
          <w:tab w:val="num" w:pos="3600"/>
        </w:tabs>
        <w:ind w:left="3600" w:hanging="360"/>
      </w:pPr>
      <w:rPr>
        <w:rFonts w:ascii="Arial" w:hAnsi="Arial" w:hint="default"/>
      </w:rPr>
    </w:lvl>
    <w:lvl w:ilvl="5" w:tplc="5262F120" w:tentative="1">
      <w:start w:val="1"/>
      <w:numFmt w:val="bullet"/>
      <w:lvlText w:val="•"/>
      <w:lvlJc w:val="left"/>
      <w:pPr>
        <w:tabs>
          <w:tab w:val="num" w:pos="4320"/>
        </w:tabs>
        <w:ind w:left="4320" w:hanging="360"/>
      </w:pPr>
      <w:rPr>
        <w:rFonts w:ascii="Arial" w:hAnsi="Arial" w:hint="default"/>
      </w:rPr>
    </w:lvl>
    <w:lvl w:ilvl="6" w:tplc="1BB69E30" w:tentative="1">
      <w:start w:val="1"/>
      <w:numFmt w:val="bullet"/>
      <w:lvlText w:val="•"/>
      <w:lvlJc w:val="left"/>
      <w:pPr>
        <w:tabs>
          <w:tab w:val="num" w:pos="5040"/>
        </w:tabs>
        <w:ind w:left="5040" w:hanging="360"/>
      </w:pPr>
      <w:rPr>
        <w:rFonts w:ascii="Arial" w:hAnsi="Arial" w:hint="default"/>
      </w:rPr>
    </w:lvl>
    <w:lvl w:ilvl="7" w:tplc="021C2AB6" w:tentative="1">
      <w:start w:val="1"/>
      <w:numFmt w:val="bullet"/>
      <w:lvlText w:val="•"/>
      <w:lvlJc w:val="left"/>
      <w:pPr>
        <w:tabs>
          <w:tab w:val="num" w:pos="5760"/>
        </w:tabs>
        <w:ind w:left="5760" w:hanging="360"/>
      </w:pPr>
      <w:rPr>
        <w:rFonts w:ascii="Arial" w:hAnsi="Arial" w:hint="default"/>
      </w:rPr>
    </w:lvl>
    <w:lvl w:ilvl="8" w:tplc="EA5E9E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BE61D0"/>
    <w:multiLevelType w:val="hybridMultilevel"/>
    <w:tmpl w:val="A0428B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9F7630"/>
    <w:multiLevelType w:val="hybridMultilevel"/>
    <w:tmpl w:val="BB54404C"/>
    <w:lvl w:ilvl="0" w:tplc="25966114">
      <w:start w:val="1"/>
      <w:numFmt w:val="bullet"/>
      <w:lvlText w:val="•"/>
      <w:lvlJc w:val="left"/>
      <w:pPr>
        <w:tabs>
          <w:tab w:val="num" w:pos="720"/>
        </w:tabs>
        <w:ind w:left="720" w:hanging="360"/>
      </w:pPr>
      <w:rPr>
        <w:rFonts w:ascii="Arial" w:hAnsi="Arial" w:hint="default"/>
      </w:rPr>
    </w:lvl>
    <w:lvl w:ilvl="1" w:tplc="945E42E2">
      <w:start w:val="283"/>
      <w:numFmt w:val="bullet"/>
      <w:lvlText w:val="•"/>
      <w:lvlJc w:val="left"/>
      <w:pPr>
        <w:tabs>
          <w:tab w:val="num" w:pos="1440"/>
        </w:tabs>
        <w:ind w:left="1440" w:hanging="360"/>
      </w:pPr>
      <w:rPr>
        <w:rFonts w:ascii="Arial" w:hAnsi="Arial" w:hint="default"/>
      </w:rPr>
    </w:lvl>
    <w:lvl w:ilvl="2" w:tplc="4CE44BB6" w:tentative="1">
      <w:start w:val="1"/>
      <w:numFmt w:val="bullet"/>
      <w:lvlText w:val="•"/>
      <w:lvlJc w:val="left"/>
      <w:pPr>
        <w:tabs>
          <w:tab w:val="num" w:pos="2160"/>
        </w:tabs>
        <w:ind w:left="2160" w:hanging="360"/>
      </w:pPr>
      <w:rPr>
        <w:rFonts w:ascii="Arial" w:hAnsi="Arial" w:hint="default"/>
      </w:rPr>
    </w:lvl>
    <w:lvl w:ilvl="3" w:tplc="0E02C410" w:tentative="1">
      <w:start w:val="1"/>
      <w:numFmt w:val="bullet"/>
      <w:lvlText w:val="•"/>
      <w:lvlJc w:val="left"/>
      <w:pPr>
        <w:tabs>
          <w:tab w:val="num" w:pos="2880"/>
        </w:tabs>
        <w:ind w:left="2880" w:hanging="360"/>
      </w:pPr>
      <w:rPr>
        <w:rFonts w:ascii="Arial" w:hAnsi="Arial" w:hint="default"/>
      </w:rPr>
    </w:lvl>
    <w:lvl w:ilvl="4" w:tplc="4DF2A28C" w:tentative="1">
      <w:start w:val="1"/>
      <w:numFmt w:val="bullet"/>
      <w:lvlText w:val="•"/>
      <w:lvlJc w:val="left"/>
      <w:pPr>
        <w:tabs>
          <w:tab w:val="num" w:pos="3600"/>
        </w:tabs>
        <w:ind w:left="3600" w:hanging="360"/>
      </w:pPr>
      <w:rPr>
        <w:rFonts w:ascii="Arial" w:hAnsi="Arial" w:hint="default"/>
      </w:rPr>
    </w:lvl>
    <w:lvl w:ilvl="5" w:tplc="50F056D8" w:tentative="1">
      <w:start w:val="1"/>
      <w:numFmt w:val="bullet"/>
      <w:lvlText w:val="•"/>
      <w:lvlJc w:val="left"/>
      <w:pPr>
        <w:tabs>
          <w:tab w:val="num" w:pos="4320"/>
        </w:tabs>
        <w:ind w:left="4320" w:hanging="360"/>
      </w:pPr>
      <w:rPr>
        <w:rFonts w:ascii="Arial" w:hAnsi="Arial" w:hint="default"/>
      </w:rPr>
    </w:lvl>
    <w:lvl w:ilvl="6" w:tplc="2C8C6ECA" w:tentative="1">
      <w:start w:val="1"/>
      <w:numFmt w:val="bullet"/>
      <w:lvlText w:val="•"/>
      <w:lvlJc w:val="left"/>
      <w:pPr>
        <w:tabs>
          <w:tab w:val="num" w:pos="5040"/>
        </w:tabs>
        <w:ind w:left="5040" w:hanging="360"/>
      </w:pPr>
      <w:rPr>
        <w:rFonts w:ascii="Arial" w:hAnsi="Arial" w:hint="default"/>
      </w:rPr>
    </w:lvl>
    <w:lvl w:ilvl="7" w:tplc="95741E4A" w:tentative="1">
      <w:start w:val="1"/>
      <w:numFmt w:val="bullet"/>
      <w:lvlText w:val="•"/>
      <w:lvlJc w:val="left"/>
      <w:pPr>
        <w:tabs>
          <w:tab w:val="num" w:pos="5760"/>
        </w:tabs>
        <w:ind w:left="5760" w:hanging="360"/>
      </w:pPr>
      <w:rPr>
        <w:rFonts w:ascii="Arial" w:hAnsi="Arial" w:hint="default"/>
      </w:rPr>
    </w:lvl>
    <w:lvl w:ilvl="8" w:tplc="44CEFD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5C3F8E"/>
    <w:multiLevelType w:val="hybridMultilevel"/>
    <w:tmpl w:val="2DF471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J Roger P - (angelj)">
    <w15:presenceInfo w15:providerId="None" w15:userId="Angel, J Roger P - (angel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9D6"/>
    <w:rsid w:val="000048A9"/>
    <w:rsid w:val="00024F74"/>
    <w:rsid w:val="00047526"/>
    <w:rsid w:val="00060215"/>
    <w:rsid w:val="00074158"/>
    <w:rsid w:val="00074B11"/>
    <w:rsid w:val="00076A09"/>
    <w:rsid w:val="00080030"/>
    <w:rsid w:val="000907F2"/>
    <w:rsid w:val="0009321C"/>
    <w:rsid w:val="000A23BE"/>
    <w:rsid w:val="000C3243"/>
    <w:rsid w:val="000C3EA7"/>
    <w:rsid w:val="000E7EB5"/>
    <w:rsid w:val="000F60D2"/>
    <w:rsid w:val="000F7CEF"/>
    <w:rsid w:val="00110854"/>
    <w:rsid w:val="00110CD0"/>
    <w:rsid w:val="00122654"/>
    <w:rsid w:val="001420D3"/>
    <w:rsid w:val="0015307D"/>
    <w:rsid w:val="00153C8F"/>
    <w:rsid w:val="00190193"/>
    <w:rsid w:val="00192D3E"/>
    <w:rsid w:val="001C00F8"/>
    <w:rsid w:val="001C2F67"/>
    <w:rsid w:val="001D1CF7"/>
    <w:rsid w:val="001E73A6"/>
    <w:rsid w:val="002050D8"/>
    <w:rsid w:val="00212696"/>
    <w:rsid w:val="00231AAA"/>
    <w:rsid w:val="00270E21"/>
    <w:rsid w:val="00273A3C"/>
    <w:rsid w:val="00273FA1"/>
    <w:rsid w:val="00281D1A"/>
    <w:rsid w:val="002863FD"/>
    <w:rsid w:val="00293D92"/>
    <w:rsid w:val="002A1992"/>
    <w:rsid w:val="002B7FC5"/>
    <w:rsid w:val="002C2046"/>
    <w:rsid w:val="002C2800"/>
    <w:rsid w:val="002D3D60"/>
    <w:rsid w:val="002E7CE3"/>
    <w:rsid w:val="002F6EE7"/>
    <w:rsid w:val="002F7CD0"/>
    <w:rsid w:val="003049A4"/>
    <w:rsid w:val="0032670D"/>
    <w:rsid w:val="00346A55"/>
    <w:rsid w:val="00356594"/>
    <w:rsid w:val="0036422C"/>
    <w:rsid w:val="0037134A"/>
    <w:rsid w:val="00374B35"/>
    <w:rsid w:val="00375358"/>
    <w:rsid w:val="00381645"/>
    <w:rsid w:val="0039281E"/>
    <w:rsid w:val="003A371B"/>
    <w:rsid w:val="003A3C2B"/>
    <w:rsid w:val="003A53CA"/>
    <w:rsid w:val="003A5510"/>
    <w:rsid w:val="003A5AB7"/>
    <w:rsid w:val="003B3089"/>
    <w:rsid w:val="003E44FA"/>
    <w:rsid w:val="003F6D93"/>
    <w:rsid w:val="00400E79"/>
    <w:rsid w:val="00405DE8"/>
    <w:rsid w:val="0041368B"/>
    <w:rsid w:val="0042107A"/>
    <w:rsid w:val="00433BA1"/>
    <w:rsid w:val="004421DB"/>
    <w:rsid w:val="00464A40"/>
    <w:rsid w:val="0046570C"/>
    <w:rsid w:val="0047221B"/>
    <w:rsid w:val="00476019"/>
    <w:rsid w:val="004813BE"/>
    <w:rsid w:val="004F0D06"/>
    <w:rsid w:val="004F2DD9"/>
    <w:rsid w:val="00527CA1"/>
    <w:rsid w:val="0056311F"/>
    <w:rsid w:val="00565622"/>
    <w:rsid w:val="00566962"/>
    <w:rsid w:val="00566DEB"/>
    <w:rsid w:val="005715CB"/>
    <w:rsid w:val="00581616"/>
    <w:rsid w:val="005852E4"/>
    <w:rsid w:val="00590E0C"/>
    <w:rsid w:val="005A208D"/>
    <w:rsid w:val="005A7D4F"/>
    <w:rsid w:val="005C35EC"/>
    <w:rsid w:val="00623FC4"/>
    <w:rsid w:val="0062750E"/>
    <w:rsid w:val="00631EBB"/>
    <w:rsid w:val="00646997"/>
    <w:rsid w:val="00647B9C"/>
    <w:rsid w:val="006732AF"/>
    <w:rsid w:val="006C0AA1"/>
    <w:rsid w:val="006C3CAD"/>
    <w:rsid w:val="006D09C7"/>
    <w:rsid w:val="006D675E"/>
    <w:rsid w:val="006E56A5"/>
    <w:rsid w:val="006F0347"/>
    <w:rsid w:val="006F22D2"/>
    <w:rsid w:val="00705F9E"/>
    <w:rsid w:val="00723111"/>
    <w:rsid w:val="007328DD"/>
    <w:rsid w:val="007500D1"/>
    <w:rsid w:val="00757F30"/>
    <w:rsid w:val="00777B94"/>
    <w:rsid w:val="007A38C8"/>
    <w:rsid w:val="007A6372"/>
    <w:rsid w:val="007B23A3"/>
    <w:rsid w:val="007B6512"/>
    <w:rsid w:val="007C784E"/>
    <w:rsid w:val="007D524A"/>
    <w:rsid w:val="007D7FBC"/>
    <w:rsid w:val="007E7555"/>
    <w:rsid w:val="008013B4"/>
    <w:rsid w:val="0082177C"/>
    <w:rsid w:val="008269A1"/>
    <w:rsid w:val="00841D55"/>
    <w:rsid w:val="00841D8E"/>
    <w:rsid w:val="00845523"/>
    <w:rsid w:val="00850FA9"/>
    <w:rsid w:val="00864090"/>
    <w:rsid w:val="00877D60"/>
    <w:rsid w:val="00877D8F"/>
    <w:rsid w:val="00882BF2"/>
    <w:rsid w:val="00890EC3"/>
    <w:rsid w:val="008A2665"/>
    <w:rsid w:val="008B11AE"/>
    <w:rsid w:val="008B645F"/>
    <w:rsid w:val="008C0292"/>
    <w:rsid w:val="009125F1"/>
    <w:rsid w:val="0093291B"/>
    <w:rsid w:val="009331CB"/>
    <w:rsid w:val="009472BE"/>
    <w:rsid w:val="00960D1F"/>
    <w:rsid w:val="00972213"/>
    <w:rsid w:val="00983DE2"/>
    <w:rsid w:val="0098530B"/>
    <w:rsid w:val="009B1300"/>
    <w:rsid w:val="009B79A3"/>
    <w:rsid w:val="009C4865"/>
    <w:rsid w:val="009C57FF"/>
    <w:rsid w:val="009E24FA"/>
    <w:rsid w:val="00A16532"/>
    <w:rsid w:val="00A26956"/>
    <w:rsid w:val="00A47A98"/>
    <w:rsid w:val="00A61C26"/>
    <w:rsid w:val="00A761BF"/>
    <w:rsid w:val="00A86AC1"/>
    <w:rsid w:val="00AB2789"/>
    <w:rsid w:val="00AB429D"/>
    <w:rsid w:val="00AB671B"/>
    <w:rsid w:val="00AC2765"/>
    <w:rsid w:val="00AD119C"/>
    <w:rsid w:val="00AE4407"/>
    <w:rsid w:val="00B01833"/>
    <w:rsid w:val="00B248F4"/>
    <w:rsid w:val="00B349C8"/>
    <w:rsid w:val="00B4646A"/>
    <w:rsid w:val="00B62FFD"/>
    <w:rsid w:val="00B659D6"/>
    <w:rsid w:val="00B660E5"/>
    <w:rsid w:val="00B714E5"/>
    <w:rsid w:val="00B716C3"/>
    <w:rsid w:val="00B7340B"/>
    <w:rsid w:val="00B912B3"/>
    <w:rsid w:val="00BA2782"/>
    <w:rsid w:val="00BB0FB6"/>
    <w:rsid w:val="00BD0358"/>
    <w:rsid w:val="00BD2A8C"/>
    <w:rsid w:val="00BE18DD"/>
    <w:rsid w:val="00BE29D7"/>
    <w:rsid w:val="00BE5974"/>
    <w:rsid w:val="00C024A3"/>
    <w:rsid w:val="00C06CE5"/>
    <w:rsid w:val="00C553A5"/>
    <w:rsid w:val="00C64E3C"/>
    <w:rsid w:val="00C74059"/>
    <w:rsid w:val="00C74753"/>
    <w:rsid w:val="00CA3CF8"/>
    <w:rsid w:val="00CC2B21"/>
    <w:rsid w:val="00CC38A2"/>
    <w:rsid w:val="00CD1AC4"/>
    <w:rsid w:val="00CF5639"/>
    <w:rsid w:val="00CF5808"/>
    <w:rsid w:val="00CF6529"/>
    <w:rsid w:val="00D128BF"/>
    <w:rsid w:val="00D13A83"/>
    <w:rsid w:val="00D15007"/>
    <w:rsid w:val="00D2039C"/>
    <w:rsid w:val="00D2324F"/>
    <w:rsid w:val="00D61522"/>
    <w:rsid w:val="00D70FCA"/>
    <w:rsid w:val="00D71D66"/>
    <w:rsid w:val="00D82D15"/>
    <w:rsid w:val="00D90D03"/>
    <w:rsid w:val="00D9320C"/>
    <w:rsid w:val="00D932F6"/>
    <w:rsid w:val="00DA3BA3"/>
    <w:rsid w:val="00DE091E"/>
    <w:rsid w:val="00DE3224"/>
    <w:rsid w:val="00DF2BE7"/>
    <w:rsid w:val="00E01B36"/>
    <w:rsid w:val="00E057FB"/>
    <w:rsid w:val="00E169CF"/>
    <w:rsid w:val="00E176DF"/>
    <w:rsid w:val="00E23896"/>
    <w:rsid w:val="00E30294"/>
    <w:rsid w:val="00E34555"/>
    <w:rsid w:val="00E608F0"/>
    <w:rsid w:val="00E75BD0"/>
    <w:rsid w:val="00E76FC4"/>
    <w:rsid w:val="00E8151D"/>
    <w:rsid w:val="00E877DD"/>
    <w:rsid w:val="00E915BC"/>
    <w:rsid w:val="00EA0A52"/>
    <w:rsid w:val="00EF5CC8"/>
    <w:rsid w:val="00F035DB"/>
    <w:rsid w:val="00F123B7"/>
    <w:rsid w:val="00F56420"/>
    <w:rsid w:val="00F5651C"/>
    <w:rsid w:val="00F60188"/>
    <w:rsid w:val="00FC5FFF"/>
    <w:rsid w:val="00FD4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6D4E3"/>
  <w15:chartTrackingRefBased/>
  <w15:docId w15:val="{EABC98C4-7244-44B7-9063-2169F9E0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2665"/>
    <w:rPr>
      <w:color w:val="0563C1" w:themeColor="hyperlink"/>
      <w:u w:val="single"/>
    </w:rPr>
  </w:style>
  <w:style w:type="paragraph" w:styleId="ListParagraph">
    <w:name w:val="List Paragraph"/>
    <w:basedOn w:val="Normal"/>
    <w:uiPriority w:val="34"/>
    <w:qFormat/>
    <w:rsid w:val="00C024A3"/>
    <w:pPr>
      <w:ind w:left="720"/>
      <w:contextualSpacing/>
    </w:pPr>
  </w:style>
  <w:style w:type="paragraph" w:styleId="BalloonText">
    <w:name w:val="Balloon Text"/>
    <w:basedOn w:val="Normal"/>
    <w:link w:val="BalloonTextChar"/>
    <w:uiPriority w:val="99"/>
    <w:semiHidden/>
    <w:unhideWhenUsed/>
    <w:rsid w:val="008B11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1AE"/>
    <w:rPr>
      <w:rFonts w:ascii="Segoe UI" w:hAnsi="Segoe UI" w:cs="Segoe UI"/>
      <w:sz w:val="18"/>
      <w:szCs w:val="18"/>
    </w:rPr>
  </w:style>
  <w:style w:type="character" w:styleId="Emphasis">
    <w:name w:val="Emphasis"/>
    <w:basedOn w:val="DefaultParagraphFont"/>
    <w:uiPriority w:val="20"/>
    <w:qFormat/>
    <w:rsid w:val="00D71D66"/>
    <w:rPr>
      <w:i/>
      <w:iCs/>
    </w:rPr>
  </w:style>
  <w:style w:type="table" w:styleId="TableGrid">
    <w:name w:val="Table Grid"/>
    <w:basedOn w:val="TableNormal"/>
    <w:uiPriority w:val="39"/>
    <w:rsid w:val="00750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13A83"/>
    <w:rPr>
      <w:sz w:val="16"/>
      <w:szCs w:val="16"/>
    </w:rPr>
  </w:style>
  <w:style w:type="paragraph" w:styleId="CommentText">
    <w:name w:val="annotation text"/>
    <w:basedOn w:val="Normal"/>
    <w:link w:val="CommentTextChar"/>
    <w:uiPriority w:val="99"/>
    <w:semiHidden/>
    <w:unhideWhenUsed/>
    <w:rsid w:val="00D13A83"/>
    <w:pPr>
      <w:spacing w:line="240" w:lineRule="auto"/>
    </w:pPr>
    <w:rPr>
      <w:sz w:val="20"/>
      <w:szCs w:val="20"/>
    </w:rPr>
  </w:style>
  <w:style w:type="character" w:customStyle="1" w:styleId="CommentTextChar">
    <w:name w:val="Comment Text Char"/>
    <w:basedOn w:val="DefaultParagraphFont"/>
    <w:link w:val="CommentText"/>
    <w:uiPriority w:val="99"/>
    <w:semiHidden/>
    <w:rsid w:val="00D13A83"/>
    <w:rPr>
      <w:sz w:val="20"/>
      <w:szCs w:val="20"/>
    </w:rPr>
  </w:style>
  <w:style w:type="paragraph" w:styleId="CommentSubject">
    <w:name w:val="annotation subject"/>
    <w:basedOn w:val="CommentText"/>
    <w:next w:val="CommentText"/>
    <w:link w:val="CommentSubjectChar"/>
    <w:uiPriority w:val="99"/>
    <w:semiHidden/>
    <w:unhideWhenUsed/>
    <w:rsid w:val="00D13A83"/>
    <w:rPr>
      <w:b/>
      <w:bCs/>
    </w:rPr>
  </w:style>
  <w:style w:type="character" w:customStyle="1" w:styleId="CommentSubjectChar">
    <w:name w:val="Comment Subject Char"/>
    <w:basedOn w:val="CommentTextChar"/>
    <w:link w:val="CommentSubject"/>
    <w:uiPriority w:val="99"/>
    <w:semiHidden/>
    <w:rsid w:val="00D13A83"/>
    <w:rPr>
      <w:b/>
      <w:bCs/>
      <w:sz w:val="20"/>
      <w:szCs w:val="20"/>
    </w:rPr>
  </w:style>
  <w:style w:type="paragraph" w:styleId="Revision">
    <w:name w:val="Revision"/>
    <w:hidden/>
    <w:uiPriority w:val="99"/>
    <w:semiHidden/>
    <w:rsid w:val="00D13A83"/>
    <w:pPr>
      <w:spacing w:after="0" w:line="240" w:lineRule="auto"/>
    </w:pPr>
  </w:style>
  <w:style w:type="paragraph" w:styleId="Header">
    <w:name w:val="header"/>
    <w:basedOn w:val="Normal"/>
    <w:link w:val="HeaderChar"/>
    <w:uiPriority w:val="99"/>
    <w:unhideWhenUsed/>
    <w:rsid w:val="005A2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08D"/>
  </w:style>
  <w:style w:type="paragraph" w:styleId="Footer">
    <w:name w:val="footer"/>
    <w:basedOn w:val="Normal"/>
    <w:link w:val="FooterChar"/>
    <w:uiPriority w:val="99"/>
    <w:unhideWhenUsed/>
    <w:rsid w:val="005A2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08D"/>
  </w:style>
  <w:style w:type="paragraph" w:styleId="NormalWeb">
    <w:name w:val="Normal (Web)"/>
    <w:basedOn w:val="Normal"/>
    <w:uiPriority w:val="99"/>
    <w:unhideWhenUsed/>
    <w:rsid w:val="009853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946717">
      <w:bodyDiv w:val="1"/>
      <w:marLeft w:val="0"/>
      <w:marRight w:val="0"/>
      <w:marTop w:val="0"/>
      <w:marBottom w:val="0"/>
      <w:divBdr>
        <w:top w:val="none" w:sz="0" w:space="0" w:color="auto"/>
        <w:left w:val="none" w:sz="0" w:space="0" w:color="auto"/>
        <w:bottom w:val="none" w:sz="0" w:space="0" w:color="auto"/>
        <w:right w:val="none" w:sz="0" w:space="0" w:color="auto"/>
      </w:divBdr>
    </w:div>
    <w:div w:id="811292580">
      <w:bodyDiv w:val="1"/>
      <w:marLeft w:val="0"/>
      <w:marRight w:val="0"/>
      <w:marTop w:val="0"/>
      <w:marBottom w:val="0"/>
      <w:divBdr>
        <w:top w:val="none" w:sz="0" w:space="0" w:color="auto"/>
        <w:left w:val="none" w:sz="0" w:space="0" w:color="auto"/>
        <w:bottom w:val="none" w:sz="0" w:space="0" w:color="auto"/>
        <w:right w:val="none" w:sz="0" w:space="0" w:color="auto"/>
      </w:divBdr>
      <w:divsChild>
        <w:div w:id="914049746">
          <w:marLeft w:val="360"/>
          <w:marRight w:val="0"/>
          <w:marTop w:val="200"/>
          <w:marBottom w:val="0"/>
          <w:divBdr>
            <w:top w:val="none" w:sz="0" w:space="0" w:color="auto"/>
            <w:left w:val="none" w:sz="0" w:space="0" w:color="auto"/>
            <w:bottom w:val="none" w:sz="0" w:space="0" w:color="auto"/>
            <w:right w:val="none" w:sz="0" w:space="0" w:color="auto"/>
          </w:divBdr>
        </w:div>
        <w:div w:id="1401052003">
          <w:marLeft w:val="1080"/>
          <w:marRight w:val="0"/>
          <w:marTop w:val="100"/>
          <w:marBottom w:val="0"/>
          <w:divBdr>
            <w:top w:val="none" w:sz="0" w:space="0" w:color="auto"/>
            <w:left w:val="none" w:sz="0" w:space="0" w:color="auto"/>
            <w:bottom w:val="none" w:sz="0" w:space="0" w:color="auto"/>
            <w:right w:val="none" w:sz="0" w:space="0" w:color="auto"/>
          </w:divBdr>
        </w:div>
        <w:div w:id="1967194807">
          <w:marLeft w:val="1080"/>
          <w:marRight w:val="0"/>
          <w:marTop w:val="100"/>
          <w:marBottom w:val="0"/>
          <w:divBdr>
            <w:top w:val="none" w:sz="0" w:space="0" w:color="auto"/>
            <w:left w:val="none" w:sz="0" w:space="0" w:color="auto"/>
            <w:bottom w:val="none" w:sz="0" w:space="0" w:color="auto"/>
            <w:right w:val="none" w:sz="0" w:space="0" w:color="auto"/>
          </w:divBdr>
        </w:div>
        <w:div w:id="1085615042">
          <w:marLeft w:val="1080"/>
          <w:marRight w:val="0"/>
          <w:marTop w:val="100"/>
          <w:marBottom w:val="0"/>
          <w:divBdr>
            <w:top w:val="none" w:sz="0" w:space="0" w:color="auto"/>
            <w:left w:val="none" w:sz="0" w:space="0" w:color="auto"/>
            <w:bottom w:val="none" w:sz="0" w:space="0" w:color="auto"/>
            <w:right w:val="none" w:sz="0" w:space="0" w:color="auto"/>
          </w:divBdr>
        </w:div>
        <w:div w:id="882908180">
          <w:marLeft w:val="1080"/>
          <w:marRight w:val="0"/>
          <w:marTop w:val="100"/>
          <w:marBottom w:val="0"/>
          <w:divBdr>
            <w:top w:val="none" w:sz="0" w:space="0" w:color="auto"/>
            <w:left w:val="none" w:sz="0" w:space="0" w:color="auto"/>
            <w:bottom w:val="none" w:sz="0" w:space="0" w:color="auto"/>
            <w:right w:val="none" w:sz="0" w:space="0" w:color="auto"/>
          </w:divBdr>
        </w:div>
      </w:divsChild>
    </w:div>
    <w:div w:id="872570072">
      <w:bodyDiv w:val="1"/>
      <w:marLeft w:val="0"/>
      <w:marRight w:val="0"/>
      <w:marTop w:val="0"/>
      <w:marBottom w:val="0"/>
      <w:divBdr>
        <w:top w:val="none" w:sz="0" w:space="0" w:color="auto"/>
        <w:left w:val="none" w:sz="0" w:space="0" w:color="auto"/>
        <w:bottom w:val="none" w:sz="0" w:space="0" w:color="auto"/>
        <w:right w:val="none" w:sz="0" w:space="0" w:color="auto"/>
      </w:divBdr>
    </w:div>
    <w:div w:id="1150442613">
      <w:bodyDiv w:val="1"/>
      <w:marLeft w:val="0"/>
      <w:marRight w:val="0"/>
      <w:marTop w:val="0"/>
      <w:marBottom w:val="0"/>
      <w:divBdr>
        <w:top w:val="none" w:sz="0" w:space="0" w:color="auto"/>
        <w:left w:val="none" w:sz="0" w:space="0" w:color="auto"/>
        <w:bottom w:val="none" w:sz="0" w:space="0" w:color="auto"/>
        <w:right w:val="none" w:sz="0" w:space="0" w:color="auto"/>
      </w:divBdr>
    </w:div>
    <w:div w:id="1276400752">
      <w:bodyDiv w:val="1"/>
      <w:marLeft w:val="0"/>
      <w:marRight w:val="0"/>
      <w:marTop w:val="0"/>
      <w:marBottom w:val="0"/>
      <w:divBdr>
        <w:top w:val="none" w:sz="0" w:space="0" w:color="auto"/>
        <w:left w:val="none" w:sz="0" w:space="0" w:color="auto"/>
        <w:bottom w:val="none" w:sz="0" w:space="0" w:color="auto"/>
        <w:right w:val="none" w:sz="0" w:space="0" w:color="auto"/>
      </w:divBdr>
      <w:divsChild>
        <w:div w:id="1135181071">
          <w:marLeft w:val="360"/>
          <w:marRight w:val="0"/>
          <w:marTop w:val="200"/>
          <w:marBottom w:val="0"/>
          <w:divBdr>
            <w:top w:val="none" w:sz="0" w:space="0" w:color="auto"/>
            <w:left w:val="none" w:sz="0" w:space="0" w:color="auto"/>
            <w:bottom w:val="none" w:sz="0" w:space="0" w:color="auto"/>
            <w:right w:val="none" w:sz="0" w:space="0" w:color="auto"/>
          </w:divBdr>
        </w:div>
        <w:div w:id="1180050813">
          <w:marLeft w:val="1080"/>
          <w:marRight w:val="0"/>
          <w:marTop w:val="100"/>
          <w:marBottom w:val="0"/>
          <w:divBdr>
            <w:top w:val="none" w:sz="0" w:space="0" w:color="auto"/>
            <w:left w:val="none" w:sz="0" w:space="0" w:color="auto"/>
            <w:bottom w:val="none" w:sz="0" w:space="0" w:color="auto"/>
            <w:right w:val="none" w:sz="0" w:space="0" w:color="auto"/>
          </w:divBdr>
        </w:div>
        <w:div w:id="1769617299">
          <w:marLeft w:val="1080"/>
          <w:marRight w:val="0"/>
          <w:marTop w:val="100"/>
          <w:marBottom w:val="0"/>
          <w:divBdr>
            <w:top w:val="none" w:sz="0" w:space="0" w:color="auto"/>
            <w:left w:val="none" w:sz="0" w:space="0" w:color="auto"/>
            <w:bottom w:val="none" w:sz="0" w:space="0" w:color="auto"/>
            <w:right w:val="none" w:sz="0" w:space="0" w:color="auto"/>
          </w:divBdr>
        </w:div>
        <w:div w:id="1347369033">
          <w:marLeft w:val="360"/>
          <w:marRight w:val="0"/>
          <w:marTop w:val="200"/>
          <w:marBottom w:val="0"/>
          <w:divBdr>
            <w:top w:val="none" w:sz="0" w:space="0" w:color="auto"/>
            <w:left w:val="none" w:sz="0" w:space="0" w:color="auto"/>
            <w:bottom w:val="none" w:sz="0" w:space="0" w:color="auto"/>
            <w:right w:val="none" w:sz="0" w:space="0" w:color="auto"/>
          </w:divBdr>
        </w:div>
        <w:div w:id="276063606">
          <w:marLeft w:val="360"/>
          <w:marRight w:val="0"/>
          <w:marTop w:val="200"/>
          <w:marBottom w:val="0"/>
          <w:divBdr>
            <w:top w:val="none" w:sz="0" w:space="0" w:color="auto"/>
            <w:left w:val="none" w:sz="0" w:space="0" w:color="auto"/>
            <w:bottom w:val="none" w:sz="0" w:space="0" w:color="auto"/>
            <w:right w:val="none" w:sz="0" w:space="0" w:color="auto"/>
          </w:divBdr>
        </w:div>
        <w:div w:id="383721143">
          <w:marLeft w:val="360"/>
          <w:marRight w:val="0"/>
          <w:marTop w:val="200"/>
          <w:marBottom w:val="0"/>
          <w:divBdr>
            <w:top w:val="none" w:sz="0" w:space="0" w:color="auto"/>
            <w:left w:val="none" w:sz="0" w:space="0" w:color="auto"/>
            <w:bottom w:val="none" w:sz="0" w:space="0" w:color="auto"/>
            <w:right w:val="none" w:sz="0" w:space="0" w:color="auto"/>
          </w:divBdr>
        </w:div>
        <w:div w:id="27375017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google.com/url?sa=i&amp;rct=j&amp;q=&amp;esrc=s&amp;source=images&amp;cd=&amp;ved=2ahUKEwjo87ies7XjAhUmwcQHHb0HDCcQjRx6BAgBEAU&amp;url=https://www.solarreserve.com/en/technology/molten-salt-tower-receiver.html&amp;psig=AOvVaw2HvqLJ69fGU-k_zEo9mBAg&amp;ust=156322759321910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D526B-6756-42EA-80E6-6B862865C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J Roger P - (angelj)</dc:creator>
  <cp:keywords/>
  <dc:description/>
  <cp:lastModifiedBy>solar</cp:lastModifiedBy>
  <cp:revision>2</cp:revision>
  <cp:lastPrinted>2019-07-16T15:05:00Z</cp:lastPrinted>
  <dcterms:created xsi:type="dcterms:W3CDTF">2019-07-16T15:30:00Z</dcterms:created>
  <dcterms:modified xsi:type="dcterms:W3CDTF">2019-07-16T15:30:00Z</dcterms:modified>
</cp:coreProperties>
</file>