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2D904" w14:textId="66C17079" w:rsidR="00644AAC" w:rsidRDefault="00644AAC">
      <w:pPr>
        <w:rPr>
          <w:rFonts w:ascii="Arial" w:hAnsi="Arial" w:cs="Arial"/>
          <w:b/>
          <w:sz w:val="36"/>
        </w:rPr>
      </w:pPr>
      <w:r>
        <w:rPr>
          <w:rFonts w:ascii="Arial" w:hAnsi="Arial" w:cs="Arial"/>
          <w:b/>
          <w:sz w:val="36"/>
        </w:rPr>
        <w:t>Technical Assistance Request</w:t>
      </w:r>
    </w:p>
    <w:p w14:paraId="6498000F" w14:textId="77777777" w:rsidR="00644AAC" w:rsidRDefault="00644AAC">
      <w:pPr>
        <w:rPr>
          <w:rFonts w:ascii="Arial" w:hAnsi="Arial" w:cs="Arial"/>
          <w:b/>
          <w:sz w:val="36"/>
        </w:rPr>
      </w:pPr>
    </w:p>
    <w:p w14:paraId="2003F0A9" w14:textId="408E3B84" w:rsidR="00644AAC" w:rsidRDefault="00644AAC">
      <w:pPr>
        <w:rPr>
          <w:rFonts w:ascii="Arial" w:hAnsi="Arial" w:cs="Arial"/>
          <w:b/>
          <w:sz w:val="28"/>
          <w:szCs w:val="28"/>
        </w:rPr>
      </w:pPr>
      <w:r>
        <w:rPr>
          <w:rFonts w:ascii="Arial" w:hAnsi="Arial" w:cs="Arial"/>
          <w:b/>
          <w:sz w:val="28"/>
          <w:szCs w:val="28"/>
        </w:rPr>
        <w:t>Team Sun Dispatch</w:t>
      </w:r>
      <w:bookmarkStart w:id="0" w:name="_GoBack"/>
      <w:bookmarkEnd w:id="0"/>
    </w:p>
    <w:p w14:paraId="6367FD9C" w14:textId="277934F9" w:rsidR="00644AAC" w:rsidRDefault="00644AAC">
      <w:pPr>
        <w:rPr>
          <w:rFonts w:ascii="Arial" w:hAnsi="Arial" w:cs="Arial"/>
          <w:b/>
          <w:sz w:val="28"/>
          <w:szCs w:val="28"/>
        </w:rPr>
      </w:pPr>
    </w:p>
    <w:p w14:paraId="1E7B9D21" w14:textId="77777777" w:rsidR="00644AAC" w:rsidRDefault="00644AAC" w:rsidP="00644AAC">
      <w:pPr>
        <w:pStyle w:val="ListParagraph"/>
        <w:numPr>
          <w:ilvl w:val="0"/>
          <w:numId w:val="8"/>
        </w:numPr>
        <w:spacing w:line="276" w:lineRule="auto"/>
        <w:ind w:left="360"/>
        <w:rPr>
          <w:sz w:val="22"/>
        </w:rPr>
      </w:pPr>
      <w:r w:rsidRPr="00644AAC">
        <w:rPr>
          <w:sz w:val="22"/>
        </w:rPr>
        <w:t xml:space="preserve">Confirmation of Design Basis by using the NREL Data System </w:t>
      </w:r>
    </w:p>
    <w:p w14:paraId="36447BED" w14:textId="59FEC941" w:rsidR="00644AAC" w:rsidRPr="00644AAC" w:rsidRDefault="00644AAC" w:rsidP="00644AAC">
      <w:pPr>
        <w:pStyle w:val="ListParagraph"/>
        <w:numPr>
          <w:ilvl w:val="1"/>
          <w:numId w:val="8"/>
        </w:numPr>
        <w:spacing w:line="276" w:lineRule="auto"/>
        <w:ind w:left="1080"/>
        <w:rPr>
          <w:sz w:val="22"/>
        </w:rPr>
      </w:pPr>
      <w:r w:rsidRPr="00644AAC">
        <w:rPr>
          <w:sz w:val="22"/>
        </w:rPr>
        <w:t>Sale price of Li</w:t>
      </w:r>
      <w:r w:rsidRPr="00644AAC">
        <w:rPr>
          <w:sz w:val="22"/>
          <w:vertAlign w:val="subscript"/>
        </w:rPr>
        <w:t>2</w:t>
      </w:r>
      <w:r w:rsidRPr="00644AAC">
        <w:rPr>
          <w:sz w:val="22"/>
        </w:rPr>
        <w:t>CO</w:t>
      </w:r>
      <w:r w:rsidRPr="00644AAC">
        <w:rPr>
          <w:sz w:val="22"/>
          <w:vertAlign w:val="subscript"/>
        </w:rPr>
        <w:t>3</w:t>
      </w:r>
      <w:r w:rsidRPr="00644AAC">
        <w:rPr>
          <w:sz w:val="22"/>
        </w:rPr>
        <w:t xml:space="preserve"> after use of 30 years or more can be estimated in case when disintegration of the components has not taken place.</w:t>
      </w:r>
    </w:p>
    <w:p w14:paraId="6939E7A9" w14:textId="5A4C0F5C" w:rsidR="00644AAC" w:rsidRPr="00644AAC" w:rsidRDefault="00644AAC" w:rsidP="00644AAC">
      <w:pPr>
        <w:pStyle w:val="ListParagraph"/>
        <w:numPr>
          <w:ilvl w:val="1"/>
          <w:numId w:val="8"/>
        </w:numPr>
        <w:spacing w:line="276" w:lineRule="auto"/>
        <w:ind w:left="1080"/>
        <w:rPr>
          <w:sz w:val="22"/>
        </w:rPr>
      </w:pPr>
      <w:r w:rsidRPr="00644AAC">
        <w:rPr>
          <w:sz w:val="22"/>
        </w:rPr>
        <w:t>LCOE (levelized cost of electricity) of the TES (thermal energy storage) after use of 30 years or more can be estimated in case when the Li</w:t>
      </w:r>
      <w:r w:rsidRPr="00644AAC">
        <w:rPr>
          <w:sz w:val="22"/>
          <w:vertAlign w:val="subscript"/>
        </w:rPr>
        <w:t>2</w:t>
      </w:r>
      <w:r w:rsidRPr="00644AAC">
        <w:rPr>
          <w:sz w:val="22"/>
        </w:rPr>
        <w:t>CO</w:t>
      </w:r>
      <w:r w:rsidRPr="00644AAC">
        <w:rPr>
          <w:sz w:val="22"/>
          <w:vertAlign w:val="subscript"/>
        </w:rPr>
        <w:t>3</w:t>
      </w:r>
      <w:r w:rsidRPr="00644AAC">
        <w:rPr>
          <w:sz w:val="22"/>
        </w:rPr>
        <w:t xml:space="preserve"> is sold. </w:t>
      </w:r>
    </w:p>
    <w:p w14:paraId="5993B539" w14:textId="25B27AA9" w:rsidR="00644AAC" w:rsidRPr="00644AAC" w:rsidRDefault="00644AAC" w:rsidP="00644AAC">
      <w:pPr>
        <w:pStyle w:val="ListParagraph"/>
        <w:numPr>
          <w:ilvl w:val="1"/>
          <w:numId w:val="8"/>
        </w:numPr>
        <w:spacing w:line="276" w:lineRule="auto"/>
        <w:ind w:left="1080"/>
        <w:rPr>
          <w:sz w:val="22"/>
        </w:rPr>
      </w:pPr>
      <w:r w:rsidRPr="00644AAC">
        <w:rPr>
          <w:sz w:val="22"/>
        </w:rPr>
        <w:t>Installation cost of TES can be estimated in case when the dollar amount of sale of Li</w:t>
      </w:r>
      <w:r w:rsidRPr="00644AAC">
        <w:rPr>
          <w:sz w:val="22"/>
          <w:vertAlign w:val="subscript"/>
        </w:rPr>
        <w:t>2</w:t>
      </w:r>
      <w:r w:rsidRPr="00644AAC">
        <w:rPr>
          <w:sz w:val="22"/>
        </w:rPr>
        <w:t>CO</w:t>
      </w:r>
      <w:r w:rsidRPr="00644AAC">
        <w:rPr>
          <w:sz w:val="22"/>
          <w:vertAlign w:val="subscript"/>
        </w:rPr>
        <w:t>3</w:t>
      </w:r>
      <w:r w:rsidRPr="00644AAC">
        <w:rPr>
          <w:sz w:val="22"/>
        </w:rPr>
        <w:t xml:space="preserve"> is deducted from the initial cost.</w:t>
      </w:r>
    </w:p>
    <w:p w14:paraId="2CF7EEF9" w14:textId="031B71E6" w:rsidR="00644AAC" w:rsidRPr="00644AAC" w:rsidRDefault="00644AAC" w:rsidP="00644AAC">
      <w:pPr>
        <w:pStyle w:val="ListParagraph"/>
        <w:numPr>
          <w:ilvl w:val="1"/>
          <w:numId w:val="8"/>
        </w:numPr>
        <w:spacing w:line="276" w:lineRule="auto"/>
        <w:ind w:left="1080"/>
        <w:rPr>
          <w:sz w:val="22"/>
        </w:rPr>
      </w:pPr>
      <w:r w:rsidRPr="00644AAC">
        <w:rPr>
          <w:sz w:val="22"/>
        </w:rPr>
        <w:t>The World Lithium Resources need to be confirmed; the total world resources of lithium content are 62 million MT (metric ton) according to U.S. Geological Survey; the lithium can be used for more than 100 years for the expected demand of 534,000 MT/Year in Li</w:t>
      </w:r>
      <w:r w:rsidRPr="00644AAC">
        <w:rPr>
          <w:sz w:val="22"/>
          <w:vertAlign w:val="subscript"/>
        </w:rPr>
        <w:t>2</w:t>
      </w:r>
      <w:r w:rsidRPr="00644AAC">
        <w:rPr>
          <w:sz w:val="22"/>
        </w:rPr>
        <w:t>CO</w:t>
      </w:r>
      <w:r w:rsidRPr="00644AAC">
        <w:rPr>
          <w:sz w:val="22"/>
          <w:vertAlign w:val="subscript"/>
        </w:rPr>
        <w:t>3</w:t>
      </w:r>
      <w:r w:rsidRPr="00644AAC">
        <w:rPr>
          <w:sz w:val="22"/>
        </w:rPr>
        <w:t xml:space="preserve"> equivalent in 2025, which includes 32,000 MT for energy storage other than batteries. </w:t>
      </w:r>
    </w:p>
    <w:p w14:paraId="6481F0D7" w14:textId="77777777" w:rsidR="00644AAC" w:rsidRPr="00644AAC" w:rsidRDefault="00644AAC" w:rsidP="00644AAC">
      <w:pPr>
        <w:pStyle w:val="ListParagraph"/>
        <w:numPr>
          <w:ilvl w:val="1"/>
          <w:numId w:val="8"/>
        </w:numPr>
        <w:spacing w:line="276" w:lineRule="auto"/>
        <w:ind w:left="1080"/>
        <w:rPr>
          <w:sz w:val="22"/>
        </w:rPr>
      </w:pPr>
      <w:r w:rsidRPr="00644AAC">
        <w:rPr>
          <w:sz w:val="22"/>
        </w:rPr>
        <w:t>For 10 hour</w:t>
      </w:r>
      <w:r w:rsidRPr="00644AAC">
        <w:rPr>
          <w:rFonts w:hint="eastAsia"/>
          <w:sz w:val="22"/>
        </w:rPr>
        <w:t>s of</w:t>
      </w:r>
      <w:r w:rsidRPr="00644AAC">
        <w:rPr>
          <w:sz w:val="22"/>
        </w:rPr>
        <w:t xml:space="preserve"> storage of a 100MW plant, 3,500 MT of lithium carbonate is required for lithium-ion batteries for PV (photovoltaic) plants, while 4,200 MT is required for CSP (concentrated solar power) TES; since the battery storage has a lifespan of 7 to 10 years while the CSP TES has more than 30 years, the battery storage option requires 10,500 MT for 30 years which is 2.5 times higher than that of the CSP TES; the battery storages can consume lithium by a large amount because the recycling of the compound requires complex chemical reactions being expensive to operate for the reactions, whereas this CSP TES conserves it with no waste.  </w:t>
      </w:r>
    </w:p>
    <w:p w14:paraId="71367945" w14:textId="77777777" w:rsidR="00644AAC" w:rsidRPr="00644AAC" w:rsidRDefault="00644AAC" w:rsidP="00644AAC">
      <w:pPr>
        <w:pStyle w:val="ListParagraph"/>
        <w:numPr>
          <w:ilvl w:val="1"/>
          <w:numId w:val="8"/>
        </w:numPr>
        <w:spacing w:line="276" w:lineRule="auto"/>
        <w:ind w:left="1080"/>
        <w:rPr>
          <w:sz w:val="22"/>
        </w:rPr>
      </w:pPr>
      <w:r w:rsidRPr="00644AAC">
        <w:rPr>
          <w:sz w:val="22"/>
        </w:rPr>
        <w:t>According to</w:t>
      </w:r>
      <w:r w:rsidRPr="00644AAC">
        <w:rPr>
          <w:rFonts w:hint="eastAsia"/>
          <w:sz w:val="22"/>
        </w:rPr>
        <w:t xml:space="preserve"> the</w:t>
      </w:r>
      <w:r w:rsidRPr="00644AAC">
        <w:rPr>
          <w:sz w:val="22"/>
        </w:rPr>
        <w:t xml:space="preserve"> California Energy Commission – Tracking Progress, Energy Storage, 2018, no battery storages are available in the capacity range in power higher than about 70 MW and in storage time higher than 10 hours. </w:t>
      </w:r>
    </w:p>
    <w:p w14:paraId="5099FCC9" w14:textId="77777777" w:rsidR="00644AAC" w:rsidRPr="00644AAC" w:rsidRDefault="00644AAC" w:rsidP="00644AAC">
      <w:pPr>
        <w:pStyle w:val="ListParagraph"/>
        <w:numPr>
          <w:ilvl w:val="1"/>
          <w:numId w:val="8"/>
        </w:numPr>
        <w:spacing w:line="276" w:lineRule="auto"/>
        <w:ind w:left="1080"/>
        <w:rPr>
          <w:sz w:val="22"/>
        </w:rPr>
      </w:pPr>
      <w:r w:rsidRPr="00644AAC">
        <w:rPr>
          <w:sz w:val="22"/>
        </w:rPr>
        <w:t>A feasibility study of (</w:t>
      </w:r>
      <w:proofErr w:type="spellStart"/>
      <w:proofErr w:type="gramStart"/>
      <w:r w:rsidRPr="00644AAC">
        <w:rPr>
          <w:sz w:val="22"/>
        </w:rPr>
        <w:t>Li,Na</w:t>
      </w:r>
      <w:proofErr w:type="gramEnd"/>
      <w:r w:rsidRPr="00644AAC">
        <w:rPr>
          <w:sz w:val="22"/>
        </w:rPr>
        <w:t>,K</w:t>
      </w:r>
      <w:proofErr w:type="spellEnd"/>
      <w:r w:rsidRPr="00644AAC">
        <w:rPr>
          <w:sz w:val="22"/>
        </w:rPr>
        <w:t>)</w:t>
      </w:r>
      <w:r w:rsidRPr="00644AAC">
        <w:rPr>
          <w:sz w:val="22"/>
          <w:vertAlign w:val="subscript"/>
        </w:rPr>
        <w:t>2</w:t>
      </w:r>
      <w:r w:rsidRPr="00644AAC">
        <w:rPr>
          <w:sz w:val="22"/>
        </w:rPr>
        <w:t>CO</w:t>
      </w:r>
      <w:r w:rsidRPr="00644AAC">
        <w:rPr>
          <w:sz w:val="22"/>
          <w:vertAlign w:val="subscript"/>
        </w:rPr>
        <w:t>3</w:t>
      </w:r>
      <w:r w:rsidRPr="00644AAC">
        <w:rPr>
          <w:sz w:val="22"/>
        </w:rPr>
        <w:t xml:space="preserve"> TES at 1000K (720°C) with CO</w:t>
      </w:r>
      <w:r w:rsidRPr="00644AAC">
        <w:rPr>
          <w:sz w:val="22"/>
          <w:vertAlign w:val="subscript"/>
        </w:rPr>
        <w:t>2</w:t>
      </w:r>
      <w:r w:rsidRPr="00644AAC">
        <w:rPr>
          <w:sz w:val="22"/>
        </w:rPr>
        <w:t xml:space="preserve"> gas sparging can be made in comparison with the battery storages, and especially in the capacity range in power higher than about 70 MW and in storage time higher than 10 hours.  </w:t>
      </w:r>
    </w:p>
    <w:p w14:paraId="3E3A9288" w14:textId="77777777" w:rsidR="00644AAC" w:rsidRPr="00644AAC" w:rsidRDefault="00644AAC" w:rsidP="00644AAC">
      <w:pPr>
        <w:pStyle w:val="ListParagraph"/>
        <w:numPr>
          <w:ilvl w:val="0"/>
          <w:numId w:val="8"/>
        </w:numPr>
        <w:spacing w:line="276" w:lineRule="auto"/>
        <w:ind w:left="360"/>
        <w:rPr>
          <w:sz w:val="22"/>
        </w:rPr>
      </w:pPr>
      <w:r w:rsidRPr="00644AAC">
        <w:rPr>
          <w:sz w:val="22"/>
        </w:rPr>
        <w:t>Experimental and Engineering Work with NREL</w:t>
      </w:r>
    </w:p>
    <w:p w14:paraId="0C1D4F3C" w14:textId="77777777" w:rsidR="00644AAC" w:rsidRPr="00644AAC" w:rsidRDefault="00644AAC" w:rsidP="00644AAC">
      <w:pPr>
        <w:pStyle w:val="ListParagraph"/>
        <w:numPr>
          <w:ilvl w:val="1"/>
          <w:numId w:val="8"/>
        </w:numPr>
        <w:spacing w:line="276" w:lineRule="auto"/>
        <w:ind w:left="1080"/>
        <w:rPr>
          <w:sz w:val="22"/>
        </w:rPr>
      </w:pPr>
      <w:r w:rsidRPr="00644AAC">
        <w:rPr>
          <w:sz w:val="22"/>
        </w:rPr>
        <w:t xml:space="preserve">A laboratory size pilot plant in NREL can be used to confirm chemical stability of the carbonate salts at 1000K (720°C) and up to 1300K (1000°C). </w:t>
      </w:r>
    </w:p>
    <w:p w14:paraId="07129647" w14:textId="0CA76012" w:rsidR="00644AAC" w:rsidRPr="00644AAC" w:rsidRDefault="00644AAC" w:rsidP="00644AAC">
      <w:pPr>
        <w:pStyle w:val="ListParagraph"/>
        <w:numPr>
          <w:ilvl w:val="1"/>
          <w:numId w:val="8"/>
        </w:numPr>
        <w:spacing w:line="276" w:lineRule="auto"/>
        <w:ind w:left="1080"/>
        <w:rPr>
          <w:sz w:val="22"/>
        </w:rPr>
      </w:pPr>
      <w:r w:rsidRPr="00644AAC">
        <w:rPr>
          <w:sz w:val="22"/>
        </w:rPr>
        <w:t xml:space="preserve">A preliminary process design of a pilot plant operating at 1000K (720°C) can be made to evaluate the </w:t>
      </w:r>
      <w:proofErr w:type="gramStart"/>
      <w:r w:rsidRPr="00644AAC">
        <w:rPr>
          <w:sz w:val="22"/>
        </w:rPr>
        <w:t>long term</w:t>
      </w:r>
      <w:proofErr w:type="gramEnd"/>
      <w:r w:rsidRPr="00644AAC">
        <w:rPr>
          <w:sz w:val="22"/>
        </w:rPr>
        <w:t xml:space="preserve"> performance for scale-up to higher capacities using tank material of 310SS with alpha-alumina coating or other appropriate material of construction having the necessary thermal and corrosion resistance.  </w:t>
      </w:r>
    </w:p>
    <w:p w14:paraId="6FF1EC20" w14:textId="50A5F89B" w:rsidR="00644AAC" w:rsidRPr="00644AAC" w:rsidRDefault="00644AAC" w:rsidP="00644AAC">
      <w:pPr>
        <w:spacing w:line="276" w:lineRule="auto"/>
        <w:rPr>
          <w:rFonts w:ascii="Arial" w:hAnsi="Arial" w:cs="Arial"/>
          <w:sz w:val="22"/>
          <w:szCs w:val="22"/>
        </w:rPr>
      </w:pPr>
    </w:p>
    <w:sectPr w:rsidR="00644AAC" w:rsidRPr="00644AAC" w:rsidSect="007508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35D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CBC52EE"/>
    <w:multiLevelType w:val="hybridMultilevel"/>
    <w:tmpl w:val="73B20C6A"/>
    <w:lvl w:ilvl="0" w:tplc="8AF4478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08150B"/>
    <w:multiLevelType w:val="hybridMultilevel"/>
    <w:tmpl w:val="012A1C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4026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93B30"/>
    <w:multiLevelType w:val="hybridMultilevel"/>
    <w:tmpl w:val="768EABE8"/>
    <w:lvl w:ilvl="0" w:tplc="1C1CD75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681D2D"/>
    <w:multiLevelType w:val="hybridMultilevel"/>
    <w:tmpl w:val="EF72AD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064E2B"/>
    <w:multiLevelType w:val="hybridMultilevel"/>
    <w:tmpl w:val="0F22F320"/>
    <w:lvl w:ilvl="0" w:tplc="1C1CD75C">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3A75B2"/>
    <w:multiLevelType w:val="multilevel"/>
    <w:tmpl w:val="AF10882C"/>
    <w:lvl w:ilvl="0">
      <w:start w:val="1"/>
      <w:numFmt w:val="upperRoman"/>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AAC"/>
    <w:rsid w:val="00644AAC"/>
    <w:rsid w:val="0075083B"/>
    <w:rsid w:val="00906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B0312"/>
  <w15:chartTrackingRefBased/>
  <w15:docId w15:val="{ED2BB2B2-50F1-8F4A-9C9E-109370584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A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372</Words>
  <Characters>2127</Characters>
  <Application>Microsoft Office Word</Application>
  <DocSecurity>0</DocSecurity>
  <Lines>17</Lines>
  <Paragraphs>4</Paragraphs>
  <ScaleCrop>false</ScaleCrop>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Suh</dc:creator>
  <cp:keywords/>
  <dc:description/>
  <cp:lastModifiedBy>Steph Suh</cp:lastModifiedBy>
  <cp:revision>1</cp:revision>
  <dcterms:created xsi:type="dcterms:W3CDTF">2019-07-15T04:09:00Z</dcterms:created>
  <dcterms:modified xsi:type="dcterms:W3CDTF">2019-07-15T04:17:00Z</dcterms:modified>
</cp:coreProperties>
</file>