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265E6" w14:textId="77777777" w:rsidR="00F55A3E" w:rsidRPr="00F55A3E" w:rsidRDefault="00F55A3E" w:rsidP="00F55A3E">
      <w:pPr>
        <w:spacing w:after="0" w:line="240" w:lineRule="auto"/>
        <w:rPr>
          <w:rFonts w:ascii="Times New Roman" w:eastAsia="Times New Roman" w:hAnsi="Times New Roman" w:cs="Times New Roman"/>
          <w:sz w:val="24"/>
          <w:szCs w:val="24"/>
        </w:rPr>
      </w:pPr>
    </w:p>
    <w:p w14:paraId="435BF967" w14:textId="77777777" w:rsidR="00F55A3E" w:rsidRPr="00F55A3E" w:rsidRDefault="00F55A3E" w:rsidP="00F55A3E">
      <w:pPr>
        <w:spacing w:after="0" w:line="240" w:lineRule="auto"/>
        <w:rPr>
          <w:rFonts w:ascii="Times New Roman" w:eastAsia="Times New Roman" w:hAnsi="Times New Roman" w:cs="Times New Roman"/>
          <w:sz w:val="24"/>
          <w:szCs w:val="24"/>
        </w:rPr>
      </w:pPr>
      <w:r w:rsidRPr="00F55A3E">
        <w:rPr>
          <w:rFonts w:ascii="Times New Roman" w:eastAsia="Times New Roman" w:hAnsi="Times New Roman" w:cs="Times New Roman"/>
          <w:sz w:val="24"/>
          <w:szCs w:val="24"/>
        </w:rPr>
        <w:t xml:space="preserve">     Sandia National Laboratories has decades of experience in CSP technologies development, including advanced collectors and thermal receiver development and testing.  It has experience leading projects from conceptual stages to prototypes to commercial production from multiple perspectives including evaluating the initial performance, the durability, and the longer-term performance and reliability.  Sandia has a unique and highly qualified team of scientists and engineers that will ensure the successful completion of this project.</w:t>
      </w:r>
    </w:p>
    <w:p w14:paraId="3A7BBDE2" w14:textId="77777777" w:rsidR="00F55A3E" w:rsidRPr="00F55A3E" w:rsidRDefault="00F55A3E" w:rsidP="00F55A3E">
      <w:pPr>
        <w:spacing w:after="0" w:line="240" w:lineRule="auto"/>
        <w:rPr>
          <w:rFonts w:ascii="Times New Roman" w:eastAsia="Times New Roman" w:hAnsi="Times New Roman" w:cs="Times New Roman"/>
          <w:b/>
          <w:sz w:val="24"/>
          <w:szCs w:val="24"/>
        </w:rPr>
      </w:pPr>
    </w:p>
    <w:p w14:paraId="43EB8196" w14:textId="77777777" w:rsidR="00F55A3E" w:rsidRPr="00F55A3E" w:rsidRDefault="00F55A3E" w:rsidP="00F55A3E">
      <w:pPr>
        <w:spacing w:after="0" w:line="240" w:lineRule="auto"/>
        <w:rPr>
          <w:rFonts w:eastAsia="Times New Roman" w:cs="Times New Roman"/>
          <w:sz w:val="24"/>
          <w:szCs w:val="20"/>
        </w:rPr>
      </w:pPr>
    </w:p>
    <w:p w14:paraId="3CD734B4" w14:textId="77777777" w:rsidR="00F55A3E" w:rsidRPr="00F55A3E" w:rsidRDefault="00F55A3E" w:rsidP="00F55A3E">
      <w:pPr>
        <w:spacing w:before="120" w:after="120" w:line="240" w:lineRule="auto"/>
        <w:rPr>
          <w:rFonts w:ascii="Times New Roman" w:eastAsiaTheme="majorEastAsia" w:hAnsi="Times New Roman" w:cs="Times New Roman"/>
          <w:b/>
          <w:bCs/>
          <w:color w:val="000000"/>
          <w:sz w:val="24"/>
          <w:szCs w:val="24"/>
        </w:rPr>
      </w:pPr>
      <w:r w:rsidRPr="00F55A3E">
        <w:rPr>
          <w:rFonts w:ascii="Times New Roman" w:eastAsiaTheme="majorEastAsia" w:hAnsi="Times New Roman" w:cs="Times New Roman"/>
          <w:b/>
          <w:color w:val="000000"/>
          <w:sz w:val="24"/>
          <w:szCs w:val="24"/>
        </w:rPr>
        <w:t xml:space="preserve">Facilities Equipment and Capabilities </w:t>
      </w:r>
    </w:p>
    <w:tbl>
      <w:tblPr>
        <w:tblStyle w:val="TableGrid"/>
        <w:tblW w:w="0" w:type="auto"/>
        <w:tblLook w:val="04A0" w:firstRow="1" w:lastRow="0" w:firstColumn="1" w:lastColumn="0" w:noHBand="0" w:noVBand="1"/>
      </w:tblPr>
      <w:tblGrid>
        <w:gridCol w:w="3830"/>
        <w:gridCol w:w="5520"/>
      </w:tblGrid>
      <w:tr w:rsidR="00F55A3E" w:rsidRPr="00F55A3E" w14:paraId="5842A3B2" w14:textId="77777777" w:rsidTr="00196035">
        <w:tc>
          <w:tcPr>
            <w:tcW w:w="309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270DB5BC" w14:textId="77777777" w:rsidR="00F55A3E" w:rsidRPr="00F55A3E" w:rsidRDefault="00F55A3E" w:rsidP="00F55A3E">
            <w:pPr>
              <w:ind w:left="720"/>
              <w:contextualSpacing/>
              <w:rPr>
                <w:rFonts w:eastAsia="Times New Roman" w:cs="Times New Roman"/>
                <w:b/>
                <w:color w:val="FF0000"/>
                <w:szCs w:val="20"/>
              </w:rPr>
            </w:pPr>
            <w:bookmarkStart w:id="0" w:name="_Hlk14003073"/>
            <w:r w:rsidRPr="00F55A3E">
              <w:rPr>
                <w:rFonts w:eastAsia="Times New Roman" w:cs="Times New Roman"/>
                <w:b/>
                <w:noProof/>
                <w:szCs w:val="20"/>
              </w:rPr>
              <w:drawing>
                <wp:inline distT="0" distB="0" distL="0" distR="0" wp14:anchorId="31CDDC1B" wp14:editId="4181D312">
                  <wp:extent cx="1828800" cy="2286000"/>
                  <wp:effectExtent l="0" t="0" r="0" b="0"/>
                  <wp:docPr id="12" name="Picture 12" descr="http://energy.sandia.gov/wp/wp-content/gallery/uploads/SolarT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nergy.sandia.gov/wp/wp-content/gallery/uploads/SolarTower.jpg"/>
                          <pic:cNvPicPr>
                            <a:picLocks noChangeAspect="1" noChangeArrowheads="1"/>
                          </pic:cNvPicPr>
                        </pic:nvPicPr>
                        <pic:blipFill>
                          <a:blip r:embed="rId7">
                            <a:extLst>
                              <a:ext uri="{28A0092B-C50C-407E-A947-70E740481C1C}">
                                <a14:useLocalDpi xmlns:a14="http://schemas.microsoft.com/office/drawing/2010/main" val="0"/>
                              </a:ext>
                            </a:extLst>
                          </a:blip>
                          <a:srcRect b="4015"/>
                          <a:stretch>
                            <a:fillRect/>
                          </a:stretch>
                        </pic:blipFill>
                        <pic:spPr bwMode="auto">
                          <a:xfrm>
                            <a:off x="0" y="0"/>
                            <a:ext cx="1828800" cy="2286000"/>
                          </a:xfrm>
                          <a:prstGeom prst="rect">
                            <a:avLst/>
                          </a:prstGeom>
                          <a:noFill/>
                          <a:ln>
                            <a:noFill/>
                          </a:ln>
                        </pic:spPr>
                      </pic:pic>
                    </a:graphicData>
                  </a:graphic>
                </wp:inline>
              </w:drawing>
            </w:r>
          </w:p>
        </w:tc>
        <w:tc>
          <w:tcPr>
            <w:tcW w:w="648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14:paraId="5401A6B1" w14:textId="77777777" w:rsidR="00F55A3E" w:rsidRPr="00F55A3E" w:rsidRDefault="00F55A3E" w:rsidP="00F55A3E">
            <w:pPr>
              <w:ind w:left="720"/>
              <w:contextualSpacing/>
              <w:rPr>
                <w:rFonts w:eastAsia="Times New Roman" w:cs="Times New Roman"/>
                <w:szCs w:val="20"/>
              </w:rPr>
            </w:pPr>
            <w:r w:rsidRPr="00F55A3E">
              <w:rPr>
                <w:rFonts w:eastAsia="Times New Roman" w:cs="Times New Roman"/>
                <w:szCs w:val="20"/>
              </w:rPr>
              <w:t>The solar tower at the NSTTF is a 61 m (200 ft) tall concrete structure with three test locations on the north side and the top of the tower. The tower can support testing for CSP experiments and large-scale, high-flux materials samples. The equipment in the tower includes a 100-ton capacity elevating module for lifting experiments to the top of the tower, internal cranes for receiver fabrication, water-glycol cooling systems and air coolers to provide heat removal from experiments, air compressors, control valves, generators, uninterruptible power supplies, piping systems, and pressure-relief valves. The heliostat field has 214 individual heliostats that can provide up to 6 MW</w:t>
            </w:r>
            <w:r w:rsidRPr="00F55A3E">
              <w:rPr>
                <w:rFonts w:eastAsia="Times New Roman" w:cs="Times New Roman"/>
                <w:szCs w:val="20"/>
                <w:vertAlign w:val="subscript"/>
              </w:rPr>
              <w:t>th</w:t>
            </w:r>
            <w:r w:rsidRPr="00F55A3E">
              <w:rPr>
                <w:rFonts w:eastAsia="Times New Roman" w:cs="Times New Roman"/>
                <w:szCs w:val="20"/>
              </w:rPr>
              <w:t xml:space="preserve"> with a peak flux greater than 300 W/cm</w:t>
            </w:r>
            <w:r w:rsidRPr="00F55A3E">
              <w:rPr>
                <w:rFonts w:eastAsia="Times New Roman" w:cs="Times New Roman"/>
                <w:szCs w:val="20"/>
                <w:vertAlign w:val="superscript"/>
              </w:rPr>
              <w:t>2</w:t>
            </w:r>
            <w:r w:rsidRPr="00F55A3E">
              <w:rPr>
                <w:rFonts w:eastAsia="Times New Roman" w:cs="Times New Roman"/>
                <w:szCs w:val="20"/>
              </w:rPr>
              <w:t>.  The tower top flux gage system permits flux measurement of the full power from the field.</w:t>
            </w:r>
          </w:p>
          <w:p w14:paraId="5E64B362" w14:textId="77777777" w:rsidR="00F55A3E" w:rsidRPr="00F55A3E" w:rsidRDefault="00F55A3E" w:rsidP="00F55A3E">
            <w:pPr>
              <w:ind w:left="720"/>
              <w:contextualSpacing/>
              <w:rPr>
                <w:rFonts w:eastAsia="Times New Roman" w:cs="Times New Roman"/>
                <w:b/>
                <w:bCs/>
                <w:szCs w:val="20"/>
              </w:rPr>
            </w:pPr>
            <w:r w:rsidRPr="00F55A3E">
              <w:rPr>
                <w:rFonts w:eastAsia="Times New Roman" w:cs="Times New Roman"/>
                <w:szCs w:val="20"/>
              </w:rPr>
              <w:t>The BCS provides a real-time means for capturing and characterizing the concentrated beam from one or more heliostats onto a flat target area. This data is useful for characterizing heliostat performance, calibrating heliostat tracking, and correlating data with models.</w:t>
            </w:r>
          </w:p>
        </w:tc>
      </w:tr>
      <w:tr w:rsidR="00F55A3E" w:rsidRPr="00F55A3E" w14:paraId="3911D9EB" w14:textId="77777777" w:rsidTr="00196035">
        <w:tc>
          <w:tcPr>
            <w:tcW w:w="309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0F8ECF7D" w14:textId="77777777" w:rsidR="00F55A3E" w:rsidRPr="00F55A3E" w:rsidRDefault="00F55A3E" w:rsidP="00F55A3E">
            <w:pPr>
              <w:ind w:left="720"/>
              <w:contextualSpacing/>
              <w:jc w:val="center"/>
              <w:rPr>
                <w:rFonts w:eastAsiaTheme="minorEastAsia" w:cs="Times New Roman"/>
                <w:b/>
                <w:noProof/>
                <w:szCs w:val="20"/>
              </w:rPr>
            </w:pPr>
            <w:r w:rsidRPr="00F55A3E">
              <w:rPr>
                <w:rFonts w:eastAsia="Times New Roman" w:cs="Times New Roman"/>
                <w:b/>
                <w:szCs w:val="20"/>
              </w:rPr>
              <w:t>Machine Shop and Assembly Facility</w:t>
            </w:r>
          </w:p>
        </w:tc>
        <w:tc>
          <w:tcPr>
            <w:tcW w:w="648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14:paraId="74BAB07E" w14:textId="77777777" w:rsidR="00F55A3E" w:rsidRPr="00F55A3E" w:rsidRDefault="00F55A3E" w:rsidP="00F55A3E">
            <w:pPr>
              <w:ind w:left="720"/>
              <w:contextualSpacing/>
              <w:rPr>
                <w:rFonts w:eastAsia="Times New Roman" w:cs="Times New Roman"/>
                <w:szCs w:val="20"/>
              </w:rPr>
            </w:pPr>
            <w:r w:rsidRPr="00F55A3E">
              <w:rPr>
                <w:rFonts w:eastAsia="Times New Roman" w:cs="Times New Roman"/>
                <w:szCs w:val="20"/>
              </w:rPr>
              <w:t>A small but capable machine shop that includes lathes, drill presses, sanding stations, band saws, welding operations, and overhead crane is available on site. The 2500 ft</w:t>
            </w:r>
            <w:r w:rsidRPr="00F55A3E">
              <w:rPr>
                <w:rFonts w:eastAsia="Times New Roman" w:cs="Times New Roman"/>
                <w:szCs w:val="20"/>
                <w:vertAlign w:val="superscript"/>
              </w:rPr>
              <w:t>2</w:t>
            </w:r>
            <w:r w:rsidRPr="00F55A3E">
              <w:rPr>
                <w:rFonts w:eastAsia="Times New Roman" w:cs="Times New Roman"/>
                <w:szCs w:val="20"/>
              </w:rPr>
              <w:t xml:space="preserve"> building has 34 ft. ceiling and 5-ton mobile crane with 24 ft. lift. The equipment and technicians are capable of hermetic-welding high-tech alloys including Haynes-230, Inconel 600-series alloys, and other metals with high nickel content. Staff has decades of experience with assembly of solar-tested components and cooling systems for a high flux environment.</w:t>
            </w:r>
          </w:p>
        </w:tc>
      </w:tr>
      <w:tr w:rsidR="00F55A3E" w:rsidRPr="00F55A3E" w14:paraId="747F44DD" w14:textId="77777777" w:rsidTr="00196035">
        <w:tc>
          <w:tcPr>
            <w:tcW w:w="309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7CE1E7DB" w14:textId="77777777" w:rsidR="00F55A3E" w:rsidRPr="00F55A3E" w:rsidRDefault="00F55A3E" w:rsidP="00F55A3E">
            <w:pPr>
              <w:contextualSpacing/>
              <w:jc w:val="center"/>
              <w:rPr>
                <w:rFonts w:eastAsiaTheme="minorEastAsia"/>
                <w:b/>
                <w:szCs w:val="20"/>
              </w:rPr>
            </w:pPr>
            <w:r w:rsidRPr="00F55A3E">
              <w:rPr>
                <w:rFonts w:eastAsia="Times New Roman" w:cs="Times New Roman"/>
                <w:b/>
                <w:szCs w:val="20"/>
              </w:rPr>
              <w:lastRenderedPageBreak/>
              <w:t>Heavy field equipment</w:t>
            </w:r>
          </w:p>
        </w:tc>
        <w:tc>
          <w:tcPr>
            <w:tcW w:w="648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hideMark/>
          </w:tcPr>
          <w:p w14:paraId="0188B473" w14:textId="77777777" w:rsidR="00F55A3E" w:rsidRPr="00F55A3E" w:rsidRDefault="00F55A3E" w:rsidP="00F55A3E">
            <w:pPr>
              <w:ind w:left="720"/>
              <w:contextualSpacing/>
              <w:rPr>
                <w:rFonts w:eastAsia="Times New Roman" w:cs="Times New Roman"/>
                <w:szCs w:val="20"/>
              </w:rPr>
            </w:pPr>
            <w:r w:rsidRPr="00F55A3E">
              <w:rPr>
                <w:rFonts w:eastAsia="Times New Roman" w:cs="Times New Roman"/>
                <w:szCs w:val="20"/>
              </w:rPr>
              <w:t xml:space="preserve">A fleet of field equipment exists including several 60-ft. </w:t>
            </w:r>
            <w:proofErr w:type="gramStart"/>
            <w:r w:rsidRPr="00F55A3E">
              <w:rPr>
                <w:rFonts w:eastAsia="Times New Roman" w:cs="Times New Roman"/>
                <w:szCs w:val="20"/>
              </w:rPr>
              <w:t>man</w:t>
            </w:r>
            <w:proofErr w:type="gramEnd"/>
            <w:r w:rsidRPr="00F55A3E">
              <w:rPr>
                <w:rFonts w:eastAsia="Times New Roman" w:cs="Times New Roman"/>
                <w:szCs w:val="20"/>
              </w:rPr>
              <w:t>-lifts and an all-terrain telescoping forklift. This equipment is useful in the assembly and installation of equipment such as heliostats.</w:t>
            </w:r>
          </w:p>
        </w:tc>
      </w:tr>
      <w:tr w:rsidR="00F55A3E" w:rsidRPr="00F55A3E" w14:paraId="48C62906" w14:textId="77777777" w:rsidTr="00196035">
        <w:tc>
          <w:tcPr>
            <w:tcW w:w="3096"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5181CF1E" w14:textId="77777777" w:rsidR="00F55A3E" w:rsidRPr="00F55A3E" w:rsidRDefault="00F55A3E" w:rsidP="00F55A3E">
            <w:pPr>
              <w:contextualSpacing/>
              <w:jc w:val="center"/>
              <w:rPr>
                <w:rFonts w:eastAsia="Times New Roman" w:cs="Times New Roman"/>
                <w:b/>
                <w:szCs w:val="20"/>
              </w:rPr>
            </w:pPr>
            <w:r w:rsidRPr="00F55A3E">
              <w:rPr>
                <w:rFonts w:eastAsia="Times New Roman" w:cs="Times New Roman"/>
                <w:b/>
                <w:szCs w:val="20"/>
              </w:rPr>
              <w:t>Weather Stations</w:t>
            </w:r>
          </w:p>
        </w:tc>
        <w:tc>
          <w:tcPr>
            <w:tcW w:w="648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7BF38870" w14:textId="77777777" w:rsidR="00F55A3E" w:rsidRPr="00F55A3E" w:rsidRDefault="00F55A3E" w:rsidP="00F55A3E">
            <w:pPr>
              <w:ind w:left="720"/>
              <w:contextualSpacing/>
              <w:rPr>
                <w:rFonts w:eastAsia="Times New Roman" w:cs="Times New Roman"/>
                <w:szCs w:val="20"/>
              </w:rPr>
            </w:pPr>
            <w:r w:rsidRPr="00F55A3E">
              <w:rPr>
                <w:rFonts w:eastAsia="Times New Roman" w:cs="Times New Roman"/>
                <w:szCs w:val="20"/>
              </w:rPr>
              <w:t>Wind velocity, ambient temperature, direct normal irradiance (DNI), and other weather parameters are recorded on site.</w:t>
            </w:r>
          </w:p>
        </w:tc>
        <w:bookmarkStart w:id="1" w:name="_GoBack"/>
        <w:bookmarkEnd w:id="1"/>
      </w:tr>
      <w:bookmarkEnd w:id="0"/>
    </w:tbl>
    <w:p w14:paraId="75209A3A" w14:textId="77777777" w:rsidR="00F55A3E" w:rsidRPr="00F55A3E" w:rsidRDefault="00F55A3E" w:rsidP="00F55A3E">
      <w:pPr>
        <w:spacing w:after="0" w:line="240" w:lineRule="auto"/>
        <w:rPr>
          <w:rFonts w:eastAsiaTheme="minorEastAsia" w:cs="Times New Roman"/>
          <w:b/>
          <w:sz w:val="24"/>
          <w:szCs w:val="24"/>
        </w:rPr>
      </w:pPr>
    </w:p>
    <w:sectPr w:rsidR="00F55A3E" w:rsidRPr="00F55A3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06410" w14:textId="77777777" w:rsidR="00A00D59" w:rsidRDefault="00A00D59" w:rsidP="00F55A3E">
      <w:pPr>
        <w:spacing w:after="0" w:line="240" w:lineRule="auto"/>
      </w:pPr>
      <w:r>
        <w:separator/>
      </w:r>
    </w:p>
  </w:endnote>
  <w:endnote w:type="continuationSeparator" w:id="0">
    <w:p w14:paraId="063649B1" w14:textId="77777777" w:rsidR="00A00D59" w:rsidRDefault="00A00D59" w:rsidP="00F55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279214"/>
      <w:docPartObj>
        <w:docPartGallery w:val="Page Numbers (Bottom of Page)"/>
        <w:docPartUnique/>
      </w:docPartObj>
    </w:sdtPr>
    <w:sdtEndPr>
      <w:rPr>
        <w:noProof/>
      </w:rPr>
    </w:sdtEndPr>
    <w:sdtContent>
      <w:p w14:paraId="5BFBF7B2" w14:textId="77777777" w:rsidR="00CE24A0" w:rsidRDefault="00A00D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5A3D4E" w14:textId="77777777" w:rsidR="00CE24A0" w:rsidRDefault="00A00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EB1F3" w14:textId="77777777" w:rsidR="00A00D59" w:rsidRDefault="00A00D59" w:rsidP="00F55A3E">
      <w:pPr>
        <w:spacing w:after="0" w:line="240" w:lineRule="auto"/>
      </w:pPr>
      <w:r>
        <w:separator/>
      </w:r>
    </w:p>
  </w:footnote>
  <w:footnote w:type="continuationSeparator" w:id="0">
    <w:p w14:paraId="24136754" w14:textId="77777777" w:rsidR="00A00D59" w:rsidRDefault="00A00D59" w:rsidP="00F55A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5F307" w14:textId="77777777" w:rsidR="00F55A3E" w:rsidRPr="00F55A3E" w:rsidRDefault="00F55A3E">
    <w:pPr>
      <w:pStyle w:val="Header"/>
      <w:rPr>
        <w:rFonts w:ascii="Times New Roman" w:hAnsi="Times New Roman"/>
      </w:rPr>
    </w:pPr>
    <w:r w:rsidRPr="00F55A3E">
      <w:rPr>
        <w:rFonts w:ascii="Times New Roman" w:hAnsi="Times New Roman"/>
      </w:rPr>
      <w:t>Team Skysun</w:t>
    </w:r>
    <w:r w:rsidRPr="00F55A3E">
      <w:rPr>
        <w:rFonts w:ascii="Times New Roman" w:hAnsi="Times New Roman"/>
      </w:rPr>
      <w:tab/>
    </w:r>
  </w:p>
  <w:p w14:paraId="2C8B3C85" w14:textId="339CCC05" w:rsidR="00CE24A0" w:rsidRPr="00F55A3E" w:rsidRDefault="00F55A3E">
    <w:pPr>
      <w:pStyle w:val="Header"/>
      <w:rPr>
        <w:rFonts w:ascii="Times New Roman" w:hAnsi="Times New Roman"/>
      </w:rPr>
    </w:pPr>
    <w:r w:rsidRPr="00F55A3E">
      <w:rPr>
        <w:rFonts w:ascii="Times New Roman" w:hAnsi="Times New Roman"/>
        <w:sz w:val="28"/>
      </w:rPr>
      <w:t>T</w:t>
    </w:r>
    <w:r w:rsidRPr="00F55A3E">
      <w:rPr>
        <w:rFonts w:ascii="Times New Roman" w:hAnsi="Times New Roman"/>
        <w:sz w:val="28"/>
      </w:rPr>
      <w:t>echnical assistance request</w:t>
    </w:r>
    <w:r>
      <w:rPr>
        <w:rFonts w:ascii="Times New Roman" w:hAnsi="Times New Roman"/>
        <w:sz w:val="28"/>
      </w:rPr>
      <w:tab/>
      <w:t xml:space="preserve">             American Made Solar Challenge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1147B"/>
    <w:multiLevelType w:val="hybridMultilevel"/>
    <w:tmpl w:val="E3860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A40E65"/>
    <w:multiLevelType w:val="hybridMultilevel"/>
    <w:tmpl w:val="F00A60EE"/>
    <w:lvl w:ilvl="0" w:tplc="18A2415E">
      <w:start w:val="1"/>
      <w:numFmt w:val="bullet"/>
      <w:lvlText w:val="•"/>
      <w:lvlJc w:val="left"/>
      <w:pPr>
        <w:tabs>
          <w:tab w:val="num" w:pos="720"/>
        </w:tabs>
        <w:ind w:left="720" w:hanging="360"/>
      </w:pPr>
      <w:rPr>
        <w:rFonts w:ascii="Arial" w:hAnsi="Arial" w:hint="default"/>
      </w:rPr>
    </w:lvl>
    <w:lvl w:ilvl="1" w:tplc="0AE2BFC4">
      <w:start w:val="1"/>
      <w:numFmt w:val="bullet"/>
      <w:lvlText w:val="•"/>
      <w:lvlJc w:val="left"/>
      <w:pPr>
        <w:tabs>
          <w:tab w:val="num" w:pos="1440"/>
        </w:tabs>
        <w:ind w:left="1440" w:hanging="360"/>
      </w:pPr>
      <w:rPr>
        <w:rFonts w:ascii="Arial" w:hAnsi="Arial" w:hint="default"/>
      </w:rPr>
    </w:lvl>
    <w:lvl w:ilvl="2" w:tplc="44167C46" w:tentative="1">
      <w:start w:val="1"/>
      <w:numFmt w:val="bullet"/>
      <w:lvlText w:val="•"/>
      <w:lvlJc w:val="left"/>
      <w:pPr>
        <w:tabs>
          <w:tab w:val="num" w:pos="2160"/>
        </w:tabs>
        <w:ind w:left="2160" w:hanging="360"/>
      </w:pPr>
      <w:rPr>
        <w:rFonts w:ascii="Arial" w:hAnsi="Arial" w:hint="default"/>
      </w:rPr>
    </w:lvl>
    <w:lvl w:ilvl="3" w:tplc="EFD2E402" w:tentative="1">
      <w:start w:val="1"/>
      <w:numFmt w:val="bullet"/>
      <w:lvlText w:val="•"/>
      <w:lvlJc w:val="left"/>
      <w:pPr>
        <w:tabs>
          <w:tab w:val="num" w:pos="2880"/>
        </w:tabs>
        <w:ind w:left="2880" w:hanging="360"/>
      </w:pPr>
      <w:rPr>
        <w:rFonts w:ascii="Arial" w:hAnsi="Arial" w:hint="default"/>
      </w:rPr>
    </w:lvl>
    <w:lvl w:ilvl="4" w:tplc="CB3AE9C2" w:tentative="1">
      <w:start w:val="1"/>
      <w:numFmt w:val="bullet"/>
      <w:lvlText w:val="•"/>
      <w:lvlJc w:val="left"/>
      <w:pPr>
        <w:tabs>
          <w:tab w:val="num" w:pos="3600"/>
        </w:tabs>
        <w:ind w:left="3600" w:hanging="360"/>
      </w:pPr>
      <w:rPr>
        <w:rFonts w:ascii="Arial" w:hAnsi="Arial" w:hint="default"/>
      </w:rPr>
    </w:lvl>
    <w:lvl w:ilvl="5" w:tplc="5FC461D8" w:tentative="1">
      <w:start w:val="1"/>
      <w:numFmt w:val="bullet"/>
      <w:lvlText w:val="•"/>
      <w:lvlJc w:val="left"/>
      <w:pPr>
        <w:tabs>
          <w:tab w:val="num" w:pos="4320"/>
        </w:tabs>
        <w:ind w:left="4320" w:hanging="360"/>
      </w:pPr>
      <w:rPr>
        <w:rFonts w:ascii="Arial" w:hAnsi="Arial" w:hint="default"/>
      </w:rPr>
    </w:lvl>
    <w:lvl w:ilvl="6" w:tplc="196C89E0" w:tentative="1">
      <w:start w:val="1"/>
      <w:numFmt w:val="bullet"/>
      <w:lvlText w:val="•"/>
      <w:lvlJc w:val="left"/>
      <w:pPr>
        <w:tabs>
          <w:tab w:val="num" w:pos="5040"/>
        </w:tabs>
        <w:ind w:left="5040" w:hanging="360"/>
      </w:pPr>
      <w:rPr>
        <w:rFonts w:ascii="Arial" w:hAnsi="Arial" w:hint="default"/>
      </w:rPr>
    </w:lvl>
    <w:lvl w:ilvl="7" w:tplc="D23ABA6A" w:tentative="1">
      <w:start w:val="1"/>
      <w:numFmt w:val="bullet"/>
      <w:lvlText w:val="•"/>
      <w:lvlJc w:val="left"/>
      <w:pPr>
        <w:tabs>
          <w:tab w:val="num" w:pos="5760"/>
        </w:tabs>
        <w:ind w:left="5760" w:hanging="360"/>
      </w:pPr>
      <w:rPr>
        <w:rFonts w:ascii="Arial" w:hAnsi="Arial" w:hint="default"/>
      </w:rPr>
    </w:lvl>
    <w:lvl w:ilvl="8" w:tplc="07C443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7F558B"/>
    <w:multiLevelType w:val="hybridMultilevel"/>
    <w:tmpl w:val="C7C2FDD2"/>
    <w:lvl w:ilvl="0" w:tplc="50BEEE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484140C"/>
    <w:multiLevelType w:val="hybridMultilevel"/>
    <w:tmpl w:val="9B4EA286"/>
    <w:lvl w:ilvl="0" w:tplc="8B1C3CAE">
      <w:start w:val="1"/>
      <w:numFmt w:val="bullet"/>
      <w:lvlText w:val="•"/>
      <w:lvlJc w:val="left"/>
      <w:pPr>
        <w:tabs>
          <w:tab w:val="num" w:pos="720"/>
        </w:tabs>
        <w:ind w:left="720" w:hanging="360"/>
      </w:pPr>
      <w:rPr>
        <w:rFonts w:ascii="Arial" w:hAnsi="Arial" w:hint="default"/>
      </w:rPr>
    </w:lvl>
    <w:lvl w:ilvl="1" w:tplc="43B84EFA">
      <w:start w:val="1"/>
      <w:numFmt w:val="bullet"/>
      <w:lvlText w:val="•"/>
      <w:lvlJc w:val="left"/>
      <w:pPr>
        <w:tabs>
          <w:tab w:val="num" w:pos="1440"/>
        </w:tabs>
        <w:ind w:left="1440" w:hanging="360"/>
      </w:pPr>
      <w:rPr>
        <w:rFonts w:ascii="Arial" w:hAnsi="Arial" w:hint="default"/>
      </w:rPr>
    </w:lvl>
    <w:lvl w:ilvl="2" w:tplc="47669376" w:tentative="1">
      <w:start w:val="1"/>
      <w:numFmt w:val="bullet"/>
      <w:lvlText w:val="•"/>
      <w:lvlJc w:val="left"/>
      <w:pPr>
        <w:tabs>
          <w:tab w:val="num" w:pos="2160"/>
        </w:tabs>
        <w:ind w:left="2160" w:hanging="360"/>
      </w:pPr>
      <w:rPr>
        <w:rFonts w:ascii="Arial" w:hAnsi="Arial" w:hint="default"/>
      </w:rPr>
    </w:lvl>
    <w:lvl w:ilvl="3" w:tplc="A17ED23C" w:tentative="1">
      <w:start w:val="1"/>
      <w:numFmt w:val="bullet"/>
      <w:lvlText w:val="•"/>
      <w:lvlJc w:val="left"/>
      <w:pPr>
        <w:tabs>
          <w:tab w:val="num" w:pos="2880"/>
        </w:tabs>
        <w:ind w:left="2880" w:hanging="360"/>
      </w:pPr>
      <w:rPr>
        <w:rFonts w:ascii="Arial" w:hAnsi="Arial" w:hint="default"/>
      </w:rPr>
    </w:lvl>
    <w:lvl w:ilvl="4" w:tplc="CB82F878" w:tentative="1">
      <w:start w:val="1"/>
      <w:numFmt w:val="bullet"/>
      <w:lvlText w:val="•"/>
      <w:lvlJc w:val="left"/>
      <w:pPr>
        <w:tabs>
          <w:tab w:val="num" w:pos="3600"/>
        </w:tabs>
        <w:ind w:left="3600" w:hanging="360"/>
      </w:pPr>
      <w:rPr>
        <w:rFonts w:ascii="Arial" w:hAnsi="Arial" w:hint="default"/>
      </w:rPr>
    </w:lvl>
    <w:lvl w:ilvl="5" w:tplc="BDBEC60C" w:tentative="1">
      <w:start w:val="1"/>
      <w:numFmt w:val="bullet"/>
      <w:lvlText w:val="•"/>
      <w:lvlJc w:val="left"/>
      <w:pPr>
        <w:tabs>
          <w:tab w:val="num" w:pos="4320"/>
        </w:tabs>
        <w:ind w:left="4320" w:hanging="360"/>
      </w:pPr>
      <w:rPr>
        <w:rFonts w:ascii="Arial" w:hAnsi="Arial" w:hint="default"/>
      </w:rPr>
    </w:lvl>
    <w:lvl w:ilvl="6" w:tplc="39CCA06C" w:tentative="1">
      <w:start w:val="1"/>
      <w:numFmt w:val="bullet"/>
      <w:lvlText w:val="•"/>
      <w:lvlJc w:val="left"/>
      <w:pPr>
        <w:tabs>
          <w:tab w:val="num" w:pos="5040"/>
        </w:tabs>
        <w:ind w:left="5040" w:hanging="360"/>
      </w:pPr>
      <w:rPr>
        <w:rFonts w:ascii="Arial" w:hAnsi="Arial" w:hint="default"/>
      </w:rPr>
    </w:lvl>
    <w:lvl w:ilvl="7" w:tplc="C0FE6332" w:tentative="1">
      <w:start w:val="1"/>
      <w:numFmt w:val="bullet"/>
      <w:lvlText w:val="•"/>
      <w:lvlJc w:val="left"/>
      <w:pPr>
        <w:tabs>
          <w:tab w:val="num" w:pos="5760"/>
        </w:tabs>
        <w:ind w:left="5760" w:hanging="360"/>
      </w:pPr>
      <w:rPr>
        <w:rFonts w:ascii="Arial" w:hAnsi="Arial" w:hint="default"/>
      </w:rPr>
    </w:lvl>
    <w:lvl w:ilvl="8" w:tplc="CDC0C4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D3423B"/>
    <w:multiLevelType w:val="hybridMultilevel"/>
    <w:tmpl w:val="3C68E0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37EC0B25"/>
    <w:multiLevelType w:val="hybridMultilevel"/>
    <w:tmpl w:val="9DA89F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434039F5"/>
    <w:multiLevelType w:val="hybridMultilevel"/>
    <w:tmpl w:val="782E1A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4B704B3A"/>
    <w:multiLevelType w:val="hybridMultilevel"/>
    <w:tmpl w:val="454E4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D707BF9"/>
    <w:multiLevelType w:val="hybridMultilevel"/>
    <w:tmpl w:val="B6648776"/>
    <w:lvl w:ilvl="0" w:tplc="47A26CC2">
      <w:start w:val="1"/>
      <w:numFmt w:val="bullet"/>
      <w:lvlText w:val="•"/>
      <w:lvlJc w:val="left"/>
      <w:pPr>
        <w:tabs>
          <w:tab w:val="num" w:pos="720"/>
        </w:tabs>
        <w:ind w:left="720" w:hanging="360"/>
      </w:pPr>
      <w:rPr>
        <w:rFonts w:ascii="Arial" w:hAnsi="Arial" w:hint="default"/>
      </w:rPr>
    </w:lvl>
    <w:lvl w:ilvl="1" w:tplc="BF5E2C04">
      <w:start w:val="1"/>
      <w:numFmt w:val="bullet"/>
      <w:lvlText w:val="•"/>
      <w:lvlJc w:val="left"/>
      <w:pPr>
        <w:tabs>
          <w:tab w:val="num" w:pos="1440"/>
        </w:tabs>
        <w:ind w:left="1440" w:hanging="360"/>
      </w:pPr>
      <w:rPr>
        <w:rFonts w:ascii="Arial" w:hAnsi="Arial" w:hint="default"/>
      </w:rPr>
    </w:lvl>
    <w:lvl w:ilvl="2" w:tplc="0A302138" w:tentative="1">
      <w:start w:val="1"/>
      <w:numFmt w:val="bullet"/>
      <w:lvlText w:val="•"/>
      <w:lvlJc w:val="left"/>
      <w:pPr>
        <w:tabs>
          <w:tab w:val="num" w:pos="2160"/>
        </w:tabs>
        <w:ind w:left="2160" w:hanging="360"/>
      </w:pPr>
      <w:rPr>
        <w:rFonts w:ascii="Arial" w:hAnsi="Arial" w:hint="default"/>
      </w:rPr>
    </w:lvl>
    <w:lvl w:ilvl="3" w:tplc="C95C5118" w:tentative="1">
      <w:start w:val="1"/>
      <w:numFmt w:val="bullet"/>
      <w:lvlText w:val="•"/>
      <w:lvlJc w:val="left"/>
      <w:pPr>
        <w:tabs>
          <w:tab w:val="num" w:pos="2880"/>
        </w:tabs>
        <w:ind w:left="2880" w:hanging="360"/>
      </w:pPr>
      <w:rPr>
        <w:rFonts w:ascii="Arial" w:hAnsi="Arial" w:hint="default"/>
      </w:rPr>
    </w:lvl>
    <w:lvl w:ilvl="4" w:tplc="929A9B6E" w:tentative="1">
      <w:start w:val="1"/>
      <w:numFmt w:val="bullet"/>
      <w:lvlText w:val="•"/>
      <w:lvlJc w:val="left"/>
      <w:pPr>
        <w:tabs>
          <w:tab w:val="num" w:pos="3600"/>
        </w:tabs>
        <w:ind w:left="3600" w:hanging="360"/>
      </w:pPr>
      <w:rPr>
        <w:rFonts w:ascii="Arial" w:hAnsi="Arial" w:hint="default"/>
      </w:rPr>
    </w:lvl>
    <w:lvl w:ilvl="5" w:tplc="4FC6DBD4" w:tentative="1">
      <w:start w:val="1"/>
      <w:numFmt w:val="bullet"/>
      <w:lvlText w:val="•"/>
      <w:lvlJc w:val="left"/>
      <w:pPr>
        <w:tabs>
          <w:tab w:val="num" w:pos="4320"/>
        </w:tabs>
        <w:ind w:left="4320" w:hanging="360"/>
      </w:pPr>
      <w:rPr>
        <w:rFonts w:ascii="Arial" w:hAnsi="Arial" w:hint="default"/>
      </w:rPr>
    </w:lvl>
    <w:lvl w:ilvl="6" w:tplc="0FC8E5C2" w:tentative="1">
      <w:start w:val="1"/>
      <w:numFmt w:val="bullet"/>
      <w:lvlText w:val="•"/>
      <w:lvlJc w:val="left"/>
      <w:pPr>
        <w:tabs>
          <w:tab w:val="num" w:pos="5040"/>
        </w:tabs>
        <w:ind w:left="5040" w:hanging="360"/>
      </w:pPr>
      <w:rPr>
        <w:rFonts w:ascii="Arial" w:hAnsi="Arial" w:hint="default"/>
      </w:rPr>
    </w:lvl>
    <w:lvl w:ilvl="7" w:tplc="BEF2CBE4" w:tentative="1">
      <w:start w:val="1"/>
      <w:numFmt w:val="bullet"/>
      <w:lvlText w:val="•"/>
      <w:lvlJc w:val="left"/>
      <w:pPr>
        <w:tabs>
          <w:tab w:val="num" w:pos="5760"/>
        </w:tabs>
        <w:ind w:left="5760" w:hanging="360"/>
      </w:pPr>
      <w:rPr>
        <w:rFonts w:ascii="Arial" w:hAnsi="Arial" w:hint="default"/>
      </w:rPr>
    </w:lvl>
    <w:lvl w:ilvl="8" w:tplc="8CCCE15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8"/>
  </w:num>
  <w:num w:numId="3">
    <w:abstractNumId w:val="3"/>
  </w:num>
  <w:num w:numId="4">
    <w:abstractNumId w:val="1"/>
  </w:num>
  <w:num w:numId="5">
    <w:abstractNumId w:val="7"/>
  </w:num>
  <w:num w:numId="6">
    <w:abstractNumId w:val="4"/>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A3E"/>
    <w:rsid w:val="00652F33"/>
    <w:rsid w:val="00A00D59"/>
    <w:rsid w:val="00F25571"/>
    <w:rsid w:val="00F55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10BE"/>
  <w15:chartTrackingRefBased/>
  <w15:docId w15:val="{C5F01974-8044-4E61-ADAC-C235FA24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55A3E"/>
    <w:rPr>
      <w:color w:val="0000FF"/>
      <w:u w:val="single"/>
    </w:rPr>
  </w:style>
  <w:style w:type="table" w:styleId="TableGrid">
    <w:name w:val="Table Grid"/>
    <w:basedOn w:val="TableNormal"/>
    <w:uiPriority w:val="39"/>
    <w:rsid w:val="00F55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5A3E"/>
    <w:pPr>
      <w:tabs>
        <w:tab w:val="center" w:pos="4680"/>
        <w:tab w:val="right" w:pos="9360"/>
      </w:tabs>
      <w:spacing w:after="0" w:line="240" w:lineRule="auto"/>
    </w:pPr>
    <w:rPr>
      <w:rFonts w:eastAsia="Times New Roman" w:cs="Times New Roman"/>
      <w:sz w:val="24"/>
      <w:szCs w:val="20"/>
    </w:rPr>
  </w:style>
  <w:style w:type="character" w:customStyle="1" w:styleId="HeaderChar">
    <w:name w:val="Header Char"/>
    <w:basedOn w:val="DefaultParagraphFont"/>
    <w:link w:val="Header"/>
    <w:uiPriority w:val="99"/>
    <w:rsid w:val="00F55A3E"/>
    <w:rPr>
      <w:rFonts w:eastAsia="Times New Roman" w:cs="Times New Roman"/>
      <w:sz w:val="24"/>
      <w:szCs w:val="20"/>
    </w:rPr>
  </w:style>
  <w:style w:type="paragraph" w:styleId="Footer">
    <w:name w:val="footer"/>
    <w:basedOn w:val="Normal"/>
    <w:link w:val="FooterChar"/>
    <w:uiPriority w:val="99"/>
    <w:unhideWhenUsed/>
    <w:rsid w:val="00F55A3E"/>
    <w:pPr>
      <w:tabs>
        <w:tab w:val="center" w:pos="4680"/>
        <w:tab w:val="right" w:pos="9360"/>
      </w:tabs>
      <w:spacing w:after="0" w:line="240" w:lineRule="auto"/>
    </w:pPr>
    <w:rPr>
      <w:rFonts w:eastAsia="Times New Roman" w:cs="Times New Roman"/>
      <w:sz w:val="24"/>
      <w:szCs w:val="20"/>
    </w:rPr>
  </w:style>
  <w:style w:type="character" w:customStyle="1" w:styleId="FooterChar">
    <w:name w:val="Footer Char"/>
    <w:basedOn w:val="DefaultParagraphFont"/>
    <w:link w:val="Footer"/>
    <w:uiPriority w:val="99"/>
    <w:rsid w:val="00F55A3E"/>
    <w:rPr>
      <w:rFonts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389</Words>
  <Characters>2221</Characters>
  <Application>Microsoft Office Word</Application>
  <DocSecurity>0</DocSecurity>
  <Lines>18</Lines>
  <Paragraphs>5</Paragraphs>
  <ScaleCrop>false</ScaleCrop>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cp:lastModifiedBy>
  <cp:revision>1</cp:revision>
  <dcterms:created xsi:type="dcterms:W3CDTF">2019-07-14T17:29:00Z</dcterms:created>
  <dcterms:modified xsi:type="dcterms:W3CDTF">2019-07-14T17:34:00Z</dcterms:modified>
</cp:coreProperties>
</file>